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CB" w:rsidRPr="00760ECB" w:rsidRDefault="00760ECB" w:rsidP="00760ECB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Proiectul nr. 17</w:t>
      </w:r>
    </w:p>
    <w:p w:rsidR="00760ECB" w:rsidRPr="00760ECB" w:rsidRDefault="00760ECB" w:rsidP="00760EC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8"/>
          <w:lang w:val="ro-RO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6"/>
          <w:szCs w:val="28"/>
          <w:lang w:val="ro-RO"/>
        </w:rPr>
        <w:t>DECIZIE nr. __                                                                                                                                           din___ ________ 2020</w:t>
      </w:r>
    </w:p>
    <w:p w:rsidR="00760ECB" w:rsidRPr="00760ECB" w:rsidRDefault="00760ECB" w:rsidP="00760EC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  <w:lang w:val="ro-RO"/>
        </w:rPr>
      </w:pPr>
    </w:p>
    <w:p w:rsidR="00760ECB" w:rsidRPr="00760ECB" w:rsidRDefault="00760ECB" w:rsidP="00760EC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Cu privire la modificarea bugetului raional pentru</w:t>
      </w:r>
    </w:p>
    <w:p w:rsidR="00760ECB" w:rsidRPr="00760ECB" w:rsidRDefault="00760ECB" w:rsidP="00760EC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anul 2020 </w:t>
      </w:r>
      <w:proofErr w:type="spellStart"/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şi</w:t>
      </w:r>
      <w:proofErr w:type="spellEnd"/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alocarea unor mijloace financiare</w:t>
      </w:r>
    </w:p>
    <w:p w:rsidR="00760ECB" w:rsidRPr="00760ECB" w:rsidRDefault="00760ECB" w:rsidP="00760ECB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</w:pPr>
    </w:p>
    <w:p w:rsidR="00760ECB" w:rsidRPr="00760ECB" w:rsidRDefault="00760ECB" w:rsidP="00760ECB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ab/>
        <w:t xml:space="preserve">Având în vedere demersurile înaintate de către conducătorii </w:t>
      </w:r>
      <w:proofErr w:type="spellStart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instituţiilor</w:t>
      </w:r>
      <w:proofErr w:type="spellEnd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bugetare din subordinea Consiliului raional Criuleni privind alocarea mijloacelor financiare </w:t>
      </w:r>
      <w:proofErr w:type="spellStart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şi</w:t>
      </w:r>
      <w:proofErr w:type="spellEnd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alte aspecte ce </w:t>
      </w:r>
      <w:proofErr w:type="spellStart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ţin</w:t>
      </w:r>
      <w:proofErr w:type="spellEnd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de modificarea bugetului raional, în conformitate cu Regulamentul privind constituirea </w:t>
      </w:r>
      <w:proofErr w:type="spellStart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şi</w:t>
      </w:r>
      <w:proofErr w:type="spellEnd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funcționarea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Consiliului raional Criuleni, aprobat prin decizia nr. 03.1/2019, Regulamentul privind constituirea Fondului de rezervă al Consiliului raional </w:t>
      </w:r>
      <w:proofErr w:type="spellStart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şi</w:t>
      </w:r>
      <w:proofErr w:type="spellEnd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utilizarea mijloacelor acestuia, aprobat prin decizia Consiliului raional nr. 12.6/2005, Hotărârea Guvernului nr. 180/2013 </w:t>
      </w:r>
      <w:r w:rsidRPr="00760ECB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cu privire la plata premiului anual personalului din unitățile bugetare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, Legea nr. 270/2018 privind sistemul unitar de salarizare în sectorul bugetar, art. 26 al Legii privind </w:t>
      </w:r>
      <w:proofErr w:type="spellStart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finanţele</w:t>
      </w:r>
      <w:proofErr w:type="spellEnd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publice locale nr. 397/2003, art.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43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şi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art.46 al Legii privind </w:t>
      </w:r>
      <w:proofErr w:type="spellStart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administraţia</w:t>
      </w:r>
      <w:proofErr w:type="spellEnd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publică locală nr. 436/2006, Consiliul raional </w:t>
      </w:r>
      <w:r w:rsidRPr="00760ECB">
        <w:rPr>
          <w:rFonts w:ascii="Times New Roman" w:hAnsi="Times New Roman" w:cs="Times New Roman"/>
          <w:sz w:val="24"/>
          <w:szCs w:val="24"/>
          <w:lang w:val="ro-RO" w:bidi="en-US"/>
        </w:rPr>
        <w:t>Criuleni,</w:t>
      </w:r>
    </w:p>
    <w:p w:rsidR="00F06D1D" w:rsidRPr="00760ECB" w:rsidRDefault="00F06D1D" w:rsidP="00760ECB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</w:pPr>
    </w:p>
    <w:p w:rsidR="00F06D1D" w:rsidRPr="00760ECB" w:rsidRDefault="000E728B" w:rsidP="000B6DD1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DECIDE:</w:t>
      </w:r>
    </w:p>
    <w:p w:rsidR="00EF170D" w:rsidRPr="00760ECB" w:rsidRDefault="00E520CA" w:rsidP="00760ECB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1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. </w:t>
      </w:r>
      <w:r w:rsidR="00646CA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Se modifică </w:t>
      </w:r>
      <w:r w:rsidR="000E728B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bugetul </w:t>
      </w:r>
      <w:r w:rsidR="00A201F8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ra</w:t>
      </w:r>
      <w:r w:rsidR="002606DC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ional pentru anul 2020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, prin majorarea </w:t>
      </w:r>
      <w:proofErr w:type="spellStart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păr</w:t>
      </w:r>
      <w:r w:rsidR="00FB5B84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ţ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ii</w:t>
      </w:r>
      <w:proofErr w:type="spellEnd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de venituri </w:t>
      </w:r>
      <w:proofErr w:type="spellStart"/>
      <w:r w:rsidR="00F3423A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ş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i</w:t>
      </w:r>
      <w:proofErr w:type="spellEnd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cheltuieli după cum urmează:</w:t>
      </w:r>
    </w:p>
    <w:p w:rsidR="003822E8" w:rsidRPr="00760ECB" w:rsidRDefault="00270B7C" w:rsidP="00760ECB">
      <w:pPr>
        <w:pStyle w:val="Listparagraf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 xml:space="preserve"> </w:t>
      </w:r>
      <w:r w:rsidR="00A22999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82947</w:t>
      </w:r>
      <w:r w:rsidR="00BF2054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 xml:space="preserve"> </w:t>
      </w:r>
      <w:r w:rsidR="00E520CA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lei, </w:t>
      </w:r>
      <w:r w:rsidR="00BF2054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bugetului Gimnaziului Drăsliceni, </w:t>
      </w:r>
      <w:r w:rsidR="00E520CA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la capitolul de venituri </w:t>
      </w:r>
      <w:r w:rsidR="00E520CA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,,</w:t>
      </w:r>
      <w:proofErr w:type="spellStart"/>
      <w:r w:rsidR="00E520CA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Dona</w:t>
      </w:r>
      <w:r w:rsidR="00FB5B84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ţ</w:t>
      </w:r>
      <w:r w:rsidR="00E520CA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ii</w:t>
      </w:r>
      <w:proofErr w:type="spellEnd"/>
      <w:r w:rsidR="00E520CA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 xml:space="preserve"> voluntare pentru cheltuieli capitale din surse interne pentru </w:t>
      </w:r>
      <w:proofErr w:type="spellStart"/>
      <w:r w:rsidR="00E520CA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institu</w:t>
      </w:r>
      <w:r w:rsidR="00FB5B84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ţ</w:t>
      </w:r>
      <w:r w:rsidR="00E520CA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ii</w:t>
      </w:r>
      <w:proofErr w:type="spellEnd"/>
      <w:r w:rsidR="00E520CA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 xml:space="preserve"> bugetare</w:t>
      </w:r>
      <w:r w:rsidR="00760ECB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”</w:t>
      </w:r>
      <w:r w:rsidR="00E520CA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,</w:t>
      </w:r>
      <w:r w:rsidR="00E520CA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mijloace financiare, care </w:t>
      </w:r>
      <w:r w:rsidR="00BF2054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sunt</w:t>
      </w:r>
      <w:r w:rsidR="00E520CA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acordate de către Fondul de </w:t>
      </w:r>
      <w:proofErr w:type="spellStart"/>
      <w:r w:rsidR="00E520CA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Eficien</w:t>
      </w:r>
      <w:r w:rsidR="00FB5B84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ţ</w:t>
      </w:r>
      <w:r w:rsidR="00E520CA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ă</w:t>
      </w:r>
      <w:proofErr w:type="spellEnd"/>
      <w:r w:rsidR="00E520CA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Energetică, pentru achitarea lucrărilor executate de termoizolarea </w:t>
      </w:r>
      <w:r w:rsidR="00760ECB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fațadei</w:t>
      </w:r>
      <w:r w:rsidR="00BF2054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;</w:t>
      </w:r>
    </w:p>
    <w:p w:rsidR="005D4222" w:rsidRPr="00760ECB" w:rsidRDefault="00EE5085" w:rsidP="00760ECB">
      <w:pPr>
        <w:pStyle w:val="Listparagraf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1000</w:t>
      </w:r>
      <w:r w:rsidR="000D1D97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0</w:t>
      </w:r>
      <w:r w:rsidR="005D4222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lei, la capitolul de venituri </w:t>
      </w:r>
      <w:r w:rsidR="005D4222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„Încasări de la prestarea serviciilor cu plată”</w:t>
      </w:r>
      <w:r w:rsidR="005D4222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, majorând cu </w:t>
      </w:r>
      <w:r w:rsidR="00760ECB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aceeași</w:t>
      </w:r>
      <w:r w:rsidR="005D4222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sumă partea de cheltuieli a bugetului </w:t>
      </w:r>
      <w:r w:rsidR="000D1D97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Stadionului raional</w:t>
      </w:r>
      <w:r w:rsidR="005D4222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, mijloace bănești care vor fi acumulate </w:t>
      </w:r>
      <w:r w:rsidR="000D1D97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din arenda terenului de fotbal</w:t>
      </w:r>
      <w:r w:rsidR="005D4222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; </w:t>
      </w:r>
    </w:p>
    <w:p w:rsidR="00322192" w:rsidRPr="00760ECB" w:rsidRDefault="00EB79FF" w:rsidP="00760ECB">
      <w:pPr>
        <w:pStyle w:val="Listparagraf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 xml:space="preserve"> </w:t>
      </w:r>
      <w:r w:rsidR="002D61C6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20000</w:t>
      </w:r>
      <w:r w:rsidR="00575F32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</w:t>
      </w:r>
      <w:r w:rsidR="00AB7591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lei, </w:t>
      </w:r>
      <w:r w:rsidR="00BF2054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bugetului Școlii Primare „Haralambie Corbu” Dubăsarii</w:t>
      </w:r>
      <w:r w:rsid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</w:t>
      </w:r>
      <w:r w:rsidR="00BF2054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Vechi, </w:t>
      </w:r>
      <w:r w:rsidR="00AB7591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la capitolul de venituri </w:t>
      </w:r>
      <w:r w:rsidR="00AB7591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 xml:space="preserve">,,Transferuri curente primite cu </w:t>
      </w:r>
      <w:proofErr w:type="spellStart"/>
      <w:r w:rsidR="00AB7591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destina</w:t>
      </w:r>
      <w:r w:rsidR="00FB5B84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ţ</w:t>
      </w:r>
      <w:r w:rsidR="00AB7591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ie</w:t>
      </w:r>
      <w:proofErr w:type="spellEnd"/>
      <w:r w:rsidR="00AB7591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 xml:space="preserve"> specială între bugetele locale de nivelul II </w:t>
      </w:r>
      <w:proofErr w:type="spellStart"/>
      <w:r w:rsidR="00F3423A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ş</w:t>
      </w:r>
      <w:r w:rsidR="00AB7591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i</w:t>
      </w:r>
      <w:proofErr w:type="spellEnd"/>
      <w:r w:rsidR="00AB7591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 xml:space="preserve"> I în cadrul unei </w:t>
      </w:r>
      <w:proofErr w:type="spellStart"/>
      <w:r w:rsidR="00AB7591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unită</w:t>
      </w:r>
      <w:r w:rsidR="00FB5B84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ţ</w:t>
      </w:r>
      <w:r w:rsidR="00AB7591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>i</w:t>
      </w:r>
      <w:proofErr w:type="spellEnd"/>
      <w:r w:rsidR="00AB7591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 w:bidi="en-US"/>
        </w:rPr>
        <w:t xml:space="preserve"> administrativ-teritoriale”, </w:t>
      </w:r>
      <w:r w:rsidR="00AB7591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mijloace financiare acor</w:t>
      </w:r>
      <w:r w:rsidR="002B1CC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date de către Consil</w:t>
      </w:r>
      <w:r w:rsidR="002D61C6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iul</w:t>
      </w:r>
      <w:r w:rsidR="002B1CC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local</w:t>
      </w:r>
      <w:r w:rsidR="00AB7591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 xml:space="preserve"> </w:t>
      </w:r>
      <w:r w:rsidR="00BF2054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Dubăsarii Vechi</w:t>
      </w:r>
      <w:r w:rsidR="00A22999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, pentru construcția gardului instituției</w:t>
      </w:r>
      <w:r w:rsidR="00BF2054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  <w:t>;</w:t>
      </w:r>
    </w:p>
    <w:p w:rsidR="00340908" w:rsidRPr="00760ECB" w:rsidRDefault="00A02744" w:rsidP="00760ECB">
      <w:pPr>
        <w:pStyle w:val="Listparagraf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</w:pP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 alocă</w:t>
      </w:r>
      <w:r w:rsidR="007971BA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12F72" w:rsidRPr="00760ECB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bdr w:val="none" w:sz="0" w:space="0" w:color="auto" w:frame="1"/>
          <w:lang w:val="ro-RO"/>
        </w:rPr>
        <w:t>1210683</w:t>
      </w:r>
      <w:r w:rsidR="007971BA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97B96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lei, din </w:t>
      </w:r>
      <w:r w:rsidR="00797B96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Soldul disponibil</w:t>
      </w:r>
      <w:r w:rsidR="00912D0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al bugetului ra</w:t>
      </w:r>
      <w:r w:rsidR="00476C3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ional pe</w:t>
      </w:r>
      <w:r w:rsid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ntru</w:t>
      </w:r>
      <w:r w:rsidR="00476C3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anul 2020</w:t>
      </w:r>
      <w:r w:rsidR="00340908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, </w:t>
      </w:r>
      <w:r w:rsidR="00340908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pentru suplinirea bugetelor direcțiilor, secțiilor, instituțiilor publice din subordinea Consiliului raional (cu excepția instituțiilor de învățământ preuniversitar) la capitolul </w:t>
      </w:r>
      <w:r w:rsidR="00340908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,,Cheltuieli de personal”,</w:t>
      </w:r>
      <w:r w:rsidR="00340908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scopul asigurării achitării angajaților premiului anual pentru anul 2020, conform prevederilor art.</w:t>
      </w:r>
      <w:r w:rsid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340908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21</w:t>
      </w:r>
      <w:r w:rsidR="00340908" w:rsidRPr="00760EC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ro-RO"/>
        </w:rPr>
        <w:t xml:space="preserve">1 </w:t>
      </w:r>
      <w:r w:rsidR="00340908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al Legii nr. 270/2018 privind sistemul unitar de salarizare în sectorul bugetar, după cum urmează:</w:t>
      </w:r>
    </w:p>
    <w:p w:rsidR="00B8564F" w:rsidRPr="00760ECB" w:rsidRDefault="00B8564F" w:rsidP="00B8564F">
      <w:pPr>
        <w:pStyle w:val="Listparagraf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 w:bidi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27"/>
        <w:gridCol w:w="3523"/>
        <w:gridCol w:w="1472"/>
        <w:gridCol w:w="1767"/>
        <w:gridCol w:w="1372"/>
        <w:gridCol w:w="1193"/>
      </w:tblGrid>
      <w:tr w:rsidR="000B6DD1" w:rsidRPr="00760ECB" w:rsidTr="00511230">
        <w:tc>
          <w:tcPr>
            <w:tcW w:w="543" w:type="dxa"/>
          </w:tcPr>
          <w:p w:rsidR="00340908" w:rsidRPr="00760ECB" w:rsidRDefault="00351C83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76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r</w:t>
            </w:r>
          </w:p>
        </w:tc>
        <w:tc>
          <w:tcPr>
            <w:tcW w:w="3879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Denumirea direcțiilor, secțiilor, instituțiilor bugetare</w:t>
            </w:r>
          </w:p>
        </w:tc>
        <w:tc>
          <w:tcPr>
            <w:tcW w:w="1516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Retribuirea muncii</w:t>
            </w:r>
          </w:p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lei</w:t>
            </w:r>
          </w:p>
        </w:tc>
        <w:tc>
          <w:tcPr>
            <w:tcW w:w="1854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76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Constribuții</w:t>
            </w:r>
            <w:proofErr w:type="spellEnd"/>
            <w:r w:rsidRPr="0076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 de asigurări sociale </w:t>
            </w:r>
          </w:p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(23%)</w:t>
            </w:r>
            <w:r w:rsidR="0076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76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lei</w:t>
            </w:r>
          </w:p>
        </w:tc>
        <w:tc>
          <w:tcPr>
            <w:tcW w:w="1437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Prime de asigurări medicale (4,5%)</w:t>
            </w:r>
          </w:p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lei</w:t>
            </w:r>
          </w:p>
        </w:tc>
        <w:tc>
          <w:tcPr>
            <w:tcW w:w="1227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Total cheltuieli</w:t>
            </w:r>
          </w:p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lei</w:t>
            </w:r>
          </w:p>
        </w:tc>
      </w:tr>
      <w:tr w:rsidR="000B6DD1" w:rsidRPr="00760ECB" w:rsidTr="00760ECB">
        <w:tc>
          <w:tcPr>
            <w:tcW w:w="543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1</w:t>
            </w:r>
          </w:p>
        </w:tc>
        <w:tc>
          <w:tcPr>
            <w:tcW w:w="3879" w:type="dxa"/>
          </w:tcPr>
          <w:p w:rsidR="00340908" w:rsidRPr="00760ECB" w:rsidRDefault="00760ECB" w:rsidP="00511230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Aparatul Președintelui (cu S</w:t>
            </w:r>
            <w:r w:rsidR="00340908" w:rsidRPr="00760ECB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erviciul de deservire a </w:t>
            </w:r>
            <w:r w:rsidRPr="00760ECB">
              <w:rPr>
                <w:rFonts w:ascii="Times New Roman" w:hAnsi="Times New Roman" w:cs="Times New Roman"/>
                <w:color w:val="000000" w:themeColor="text1"/>
                <w:lang w:val="ro-RO"/>
              </w:rPr>
              <w:t>clădirii</w:t>
            </w:r>
            <w:r w:rsidR="00340908" w:rsidRPr="00760ECB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1516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78415</w:t>
            </w:r>
          </w:p>
        </w:tc>
        <w:tc>
          <w:tcPr>
            <w:tcW w:w="1854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18035</w:t>
            </w:r>
          </w:p>
        </w:tc>
        <w:tc>
          <w:tcPr>
            <w:tcW w:w="143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3530</w:t>
            </w:r>
          </w:p>
        </w:tc>
        <w:tc>
          <w:tcPr>
            <w:tcW w:w="122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99980</w:t>
            </w:r>
          </w:p>
        </w:tc>
      </w:tr>
      <w:tr w:rsidR="000B6DD1" w:rsidRPr="00760ECB" w:rsidTr="00760ECB">
        <w:tc>
          <w:tcPr>
            <w:tcW w:w="543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2</w:t>
            </w:r>
          </w:p>
        </w:tc>
        <w:tc>
          <w:tcPr>
            <w:tcW w:w="3879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color w:val="000000" w:themeColor="text1"/>
                <w:lang w:val="ro-RO"/>
              </w:rPr>
              <w:t>Direcția Finanțe</w:t>
            </w:r>
          </w:p>
        </w:tc>
        <w:tc>
          <w:tcPr>
            <w:tcW w:w="1516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42700</w:t>
            </w:r>
          </w:p>
        </w:tc>
        <w:tc>
          <w:tcPr>
            <w:tcW w:w="1854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9830</w:t>
            </w:r>
          </w:p>
        </w:tc>
        <w:tc>
          <w:tcPr>
            <w:tcW w:w="143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1930</w:t>
            </w:r>
          </w:p>
        </w:tc>
        <w:tc>
          <w:tcPr>
            <w:tcW w:w="122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54460</w:t>
            </w:r>
          </w:p>
        </w:tc>
      </w:tr>
      <w:tr w:rsidR="000B6DD1" w:rsidRPr="00760ECB" w:rsidTr="00760ECB">
        <w:tc>
          <w:tcPr>
            <w:tcW w:w="543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3</w:t>
            </w:r>
          </w:p>
        </w:tc>
        <w:tc>
          <w:tcPr>
            <w:tcW w:w="3879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color w:val="000000" w:themeColor="text1"/>
                <w:lang w:val="ro-RO"/>
              </w:rPr>
              <w:t>Secția administrativ-militară</w:t>
            </w:r>
          </w:p>
        </w:tc>
        <w:tc>
          <w:tcPr>
            <w:tcW w:w="1516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530</w:t>
            </w:r>
          </w:p>
        </w:tc>
        <w:tc>
          <w:tcPr>
            <w:tcW w:w="1854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122</w:t>
            </w:r>
          </w:p>
        </w:tc>
        <w:tc>
          <w:tcPr>
            <w:tcW w:w="143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24</w:t>
            </w:r>
          </w:p>
        </w:tc>
        <w:tc>
          <w:tcPr>
            <w:tcW w:w="122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676</w:t>
            </w:r>
          </w:p>
        </w:tc>
      </w:tr>
      <w:tr w:rsidR="000B6DD1" w:rsidRPr="00760ECB" w:rsidTr="00760ECB">
        <w:tc>
          <w:tcPr>
            <w:tcW w:w="543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4</w:t>
            </w:r>
          </w:p>
        </w:tc>
        <w:tc>
          <w:tcPr>
            <w:tcW w:w="3879" w:type="dxa"/>
          </w:tcPr>
          <w:p w:rsidR="00340908" w:rsidRPr="00760ECB" w:rsidRDefault="00D40ABF" w:rsidP="00511230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hyperlink r:id="rId6" w:history="1">
              <w:r w:rsidR="00340908" w:rsidRPr="00760ECB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u w:val="none"/>
                  <w:bdr w:val="none" w:sz="0" w:space="0" w:color="auto" w:frame="1"/>
                  <w:lang w:val="ro-RO"/>
                </w:rPr>
                <w:t>Direcția Agricultură și Servicii Funciare</w:t>
              </w:r>
            </w:hyperlink>
          </w:p>
        </w:tc>
        <w:tc>
          <w:tcPr>
            <w:tcW w:w="1516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18005</w:t>
            </w:r>
          </w:p>
        </w:tc>
        <w:tc>
          <w:tcPr>
            <w:tcW w:w="1854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4141</w:t>
            </w:r>
          </w:p>
        </w:tc>
        <w:tc>
          <w:tcPr>
            <w:tcW w:w="143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811</w:t>
            </w:r>
          </w:p>
        </w:tc>
        <w:tc>
          <w:tcPr>
            <w:tcW w:w="122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22957</w:t>
            </w:r>
          </w:p>
        </w:tc>
      </w:tr>
      <w:tr w:rsidR="000B6DD1" w:rsidRPr="00760ECB" w:rsidTr="00760ECB">
        <w:tc>
          <w:tcPr>
            <w:tcW w:w="543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5</w:t>
            </w:r>
          </w:p>
        </w:tc>
        <w:tc>
          <w:tcPr>
            <w:tcW w:w="3879" w:type="dxa"/>
          </w:tcPr>
          <w:p w:rsidR="00340908" w:rsidRPr="00760ECB" w:rsidRDefault="00D40ABF" w:rsidP="00760ECB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hyperlink r:id="rId7" w:history="1">
              <w:proofErr w:type="spellStart"/>
              <w:r w:rsidR="00340908" w:rsidRPr="00760ECB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u w:val="none"/>
                  <w:bdr w:val="none" w:sz="0" w:space="0" w:color="auto" w:frame="1"/>
                  <w:lang w:val="ro-RO"/>
                </w:rPr>
                <w:t>Direcţia</w:t>
              </w:r>
              <w:proofErr w:type="spellEnd"/>
              <w:r w:rsidR="00340908" w:rsidRPr="00760ECB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u w:val="none"/>
                  <w:bdr w:val="none" w:sz="0" w:space="0" w:color="auto" w:frame="1"/>
                  <w:lang w:val="ro-RO"/>
                </w:rPr>
                <w:t xml:space="preserve"> </w:t>
              </w:r>
              <w:proofErr w:type="spellStart"/>
              <w:r w:rsidR="00340908" w:rsidRPr="00760ECB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u w:val="none"/>
                  <w:bdr w:val="none" w:sz="0" w:space="0" w:color="auto" w:frame="1"/>
                  <w:lang w:val="ro-RO"/>
                </w:rPr>
                <w:t>Construcţii</w:t>
              </w:r>
              <w:proofErr w:type="spellEnd"/>
              <w:r w:rsidR="00340908" w:rsidRPr="00760ECB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u w:val="none"/>
                  <w:bdr w:val="none" w:sz="0" w:space="0" w:color="auto" w:frame="1"/>
                  <w:lang w:val="ro-RO"/>
                </w:rPr>
                <w:t xml:space="preserve">, Gospodărie Comunală </w:t>
              </w:r>
              <w:proofErr w:type="spellStart"/>
              <w:r w:rsidR="00340908" w:rsidRPr="00760ECB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u w:val="none"/>
                  <w:bdr w:val="none" w:sz="0" w:space="0" w:color="auto" w:frame="1"/>
                  <w:lang w:val="ro-RO"/>
                </w:rPr>
                <w:t>şi</w:t>
              </w:r>
              <w:proofErr w:type="spellEnd"/>
              <w:r w:rsidR="00340908" w:rsidRPr="00760ECB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u w:val="none"/>
                  <w:bdr w:val="none" w:sz="0" w:space="0" w:color="auto" w:frame="1"/>
                  <w:lang w:val="ro-RO"/>
                </w:rPr>
                <w:t xml:space="preserve"> Arhitectură</w:t>
              </w:r>
            </w:hyperlink>
          </w:p>
        </w:tc>
        <w:tc>
          <w:tcPr>
            <w:tcW w:w="1516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35070</w:t>
            </w:r>
          </w:p>
        </w:tc>
        <w:tc>
          <w:tcPr>
            <w:tcW w:w="1854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8066</w:t>
            </w:r>
          </w:p>
        </w:tc>
        <w:tc>
          <w:tcPr>
            <w:tcW w:w="143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1578</w:t>
            </w:r>
          </w:p>
        </w:tc>
        <w:tc>
          <w:tcPr>
            <w:tcW w:w="122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44714</w:t>
            </w:r>
          </w:p>
        </w:tc>
      </w:tr>
      <w:tr w:rsidR="000B6DD1" w:rsidRPr="00760ECB" w:rsidTr="00760ECB">
        <w:trPr>
          <w:trHeight w:val="231"/>
        </w:trPr>
        <w:tc>
          <w:tcPr>
            <w:tcW w:w="543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6</w:t>
            </w:r>
          </w:p>
        </w:tc>
        <w:tc>
          <w:tcPr>
            <w:tcW w:w="3879" w:type="dxa"/>
          </w:tcPr>
          <w:p w:rsidR="00340908" w:rsidRPr="00760ECB" w:rsidRDefault="00340908" w:rsidP="00760ECB">
            <w:pPr>
              <w:pStyle w:val="Titlu1"/>
              <w:spacing w:before="150" w:beforeAutospacing="0" w:after="150" w:afterAutospacing="0"/>
              <w:outlineLvl w:val="0"/>
              <w:rPr>
                <w:b w:val="0"/>
                <w:color w:val="000000" w:themeColor="text1"/>
                <w:sz w:val="22"/>
                <w:szCs w:val="22"/>
                <w:lang w:val="ro-RO"/>
              </w:rPr>
            </w:pPr>
            <w:r w:rsidRPr="00760ECB">
              <w:rPr>
                <w:b w:val="0"/>
                <w:color w:val="000000" w:themeColor="text1"/>
                <w:sz w:val="22"/>
                <w:szCs w:val="22"/>
                <w:lang w:val="ro-RO"/>
              </w:rPr>
              <w:t>Centrul de Cultur</w:t>
            </w:r>
            <w:r w:rsidR="00760ECB">
              <w:rPr>
                <w:b w:val="0"/>
                <w:color w:val="000000" w:themeColor="text1"/>
                <w:sz w:val="22"/>
                <w:szCs w:val="22"/>
                <w:lang w:val="ro-RO"/>
              </w:rPr>
              <w:t>ă „</w:t>
            </w:r>
            <w:r w:rsidRPr="00760ECB">
              <w:rPr>
                <w:b w:val="0"/>
                <w:color w:val="000000" w:themeColor="text1"/>
                <w:sz w:val="22"/>
                <w:szCs w:val="22"/>
                <w:lang w:val="ro-RO"/>
              </w:rPr>
              <w:t>G</w:t>
            </w:r>
            <w:r w:rsidR="00760ECB">
              <w:rPr>
                <w:b w:val="0"/>
                <w:color w:val="000000" w:themeColor="text1"/>
                <w:sz w:val="22"/>
                <w:szCs w:val="22"/>
                <w:lang w:val="ro-RO"/>
              </w:rPr>
              <w:t>r</w:t>
            </w:r>
            <w:r w:rsidRPr="00760ECB">
              <w:rPr>
                <w:b w:val="0"/>
                <w:color w:val="000000" w:themeColor="text1"/>
                <w:sz w:val="22"/>
                <w:szCs w:val="22"/>
                <w:lang w:val="ro-RO"/>
              </w:rPr>
              <w:t>.</w:t>
            </w:r>
            <w:r w:rsidR="00760ECB">
              <w:rPr>
                <w:b w:val="0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60ECB">
              <w:rPr>
                <w:b w:val="0"/>
                <w:color w:val="000000" w:themeColor="text1"/>
                <w:sz w:val="22"/>
                <w:szCs w:val="22"/>
                <w:lang w:val="ro-RO"/>
              </w:rPr>
              <w:t>Sirbu</w:t>
            </w:r>
            <w:proofErr w:type="spellEnd"/>
            <w:r w:rsidR="00760ECB">
              <w:rPr>
                <w:b w:val="0"/>
                <w:color w:val="000000" w:themeColor="text1"/>
                <w:sz w:val="22"/>
                <w:szCs w:val="22"/>
                <w:lang w:val="ro-RO"/>
              </w:rPr>
              <w:t>”</w:t>
            </w:r>
          </w:p>
        </w:tc>
        <w:tc>
          <w:tcPr>
            <w:tcW w:w="1516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53000</w:t>
            </w:r>
          </w:p>
        </w:tc>
        <w:tc>
          <w:tcPr>
            <w:tcW w:w="1854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12190</w:t>
            </w:r>
          </w:p>
        </w:tc>
        <w:tc>
          <w:tcPr>
            <w:tcW w:w="143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2385</w:t>
            </w:r>
          </w:p>
        </w:tc>
        <w:tc>
          <w:tcPr>
            <w:tcW w:w="122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67575</w:t>
            </w:r>
          </w:p>
        </w:tc>
      </w:tr>
      <w:tr w:rsidR="000B6DD1" w:rsidRPr="00760ECB" w:rsidTr="00760ECB">
        <w:tc>
          <w:tcPr>
            <w:tcW w:w="543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7</w:t>
            </w:r>
          </w:p>
        </w:tc>
        <w:tc>
          <w:tcPr>
            <w:tcW w:w="3879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color w:val="000000" w:themeColor="text1"/>
                <w:lang w:val="ro-RO"/>
              </w:rPr>
              <w:t>Aparatul administrativ Secția Cultură și Turism</w:t>
            </w:r>
          </w:p>
        </w:tc>
        <w:tc>
          <w:tcPr>
            <w:tcW w:w="1516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16500</w:t>
            </w:r>
          </w:p>
        </w:tc>
        <w:tc>
          <w:tcPr>
            <w:tcW w:w="1854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3795</w:t>
            </w:r>
          </w:p>
        </w:tc>
        <w:tc>
          <w:tcPr>
            <w:tcW w:w="143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744</w:t>
            </w:r>
          </w:p>
        </w:tc>
        <w:tc>
          <w:tcPr>
            <w:tcW w:w="122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21039</w:t>
            </w:r>
          </w:p>
        </w:tc>
      </w:tr>
      <w:tr w:rsidR="000B6DD1" w:rsidRPr="00760ECB" w:rsidTr="00760ECB">
        <w:tc>
          <w:tcPr>
            <w:tcW w:w="543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8</w:t>
            </w:r>
          </w:p>
        </w:tc>
        <w:tc>
          <w:tcPr>
            <w:tcW w:w="3879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color w:val="000000" w:themeColor="text1"/>
                <w:lang w:val="ro-RO"/>
              </w:rPr>
              <w:t>Stadionul raional</w:t>
            </w:r>
          </w:p>
        </w:tc>
        <w:tc>
          <w:tcPr>
            <w:tcW w:w="1516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7272</w:t>
            </w:r>
          </w:p>
        </w:tc>
        <w:tc>
          <w:tcPr>
            <w:tcW w:w="1854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1673</w:t>
            </w:r>
          </w:p>
        </w:tc>
        <w:tc>
          <w:tcPr>
            <w:tcW w:w="143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328</w:t>
            </w:r>
          </w:p>
        </w:tc>
        <w:tc>
          <w:tcPr>
            <w:tcW w:w="122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9273</w:t>
            </w:r>
          </w:p>
        </w:tc>
      </w:tr>
      <w:tr w:rsidR="000B6DD1" w:rsidRPr="00760ECB" w:rsidTr="00760ECB">
        <w:tc>
          <w:tcPr>
            <w:tcW w:w="543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9</w:t>
            </w:r>
          </w:p>
        </w:tc>
        <w:tc>
          <w:tcPr>
            <w:tcW w:w="3879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color w:val="000000" w:themeColor="text1"/>
                <w:lang w:val="ro-RO"/>
              </w:rPr>
              <w:t>Centrul de tineret ,,UNIT''</w:t>
            </w:r>
          </w:p>
        </w:tc>
        <w:tc>
          <w:tcPr>
            <w:tcW w:w="1516" w:type="dxa"/>
          </w:tcPr>
          <w:p w:rsidR="00340908" w:rsidRPr="00760ECB" w:rsidRDefault="00812F72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38100</w:t>
            </w:r>
          </w:p>
        </w:tc>
        <w:tc>
          <w:tcPr>
            <w:tcW w:w="1854" w:type="dxa"/>
          </w:tcPr>
          <w:p w:rsidR="00340908" w:rsidRPr="00760ECB" w:rsidRDefault="00812F72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8763</w:t>
            </w:r>
          </w:p>
        </w:tc>
        <w:tc>
          <w:tcPr>
            <w:tcW w:w="1437" w:type="dxa"/>
          </w:tcPr>
          <w:p w:rsidR="00340908" w:rsidRPr="00760ECB" w:rsidRDefault="00812F72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1715</w:t>
            </w:r>
          </w:p>
        </w:tc>
        <w:tc>
          <w:tcPr>
            <w:tcW w:w="1227" w:type="dxa"/>
          </w:tcPr>
          <w:p w:rsidR="00340908" w:rsidRPr="00760ECB" w:rsidRDefault="00812F72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48578</w:t>
            </w:r>
          </w:p>
        </w:tc>
      </w:tr>
      <w:tr w:rsidR="000B6DD1" w:rsidRPr="00760ECB" w:rsidTr="00760ECB">
        <w:tc>
          <w:tcPr>
            <w:tcW w:w="543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10</w:t>
            </w:r>
          </w:p>
        </w:tc>
        <w:tc>
          <w:tcPr>
            <w:tcW w:w="3879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color w:val="000000" w:themeColor="text1"/>
                <w:lang w:val="ro-RO"/>
              </w:rPr>
              <w:t>Direcția Educație (cu serviciile din subordine)</w:t>
            </w:r>
          </w:p>
        </w:tc>
        <w:tc>
          <w:tcPr>
            <w:tcW w:w="1516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259820</w:t>
            </w:r>
          </w:p>
        </w:tc>
        <w:tc>
          <w:tcPr>
            <w:tcW w:w="1854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59759</w:t>
            </w:r>
          </w:p>
        </w:tc>
        <w:tc>
          <w:tcPr>
            <w:tcW w:w="143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11692</w:t>
            </w:r>
          </w:p>
        </w:tc>
        <w:tc>
          <w:tcPr>
            <w:tcW w:w="122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331271</w:t>
            </w:r>
          </w:p>
        </w:tc>
      </w:tr>
      <w:tr w:rsidR="000B6DD1" w:rsidRPr="00760ECB" w:rsidTr="00760ECB">
        <w:tc>
          <w:tcPr>
            <w:tcW w:w="543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11</w:t>
            </w:r>
          </w:p>
        </w:tc>
        <w:tc>
          <w:tcPr>
            <w:tcW w:w="3879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Direcția Asistență Socială și </w:t>
            </w:r>
            <w:r w:rsidRPr="00760ECB"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Protecție a Familiei (cu serviciile din subordine)</w:t>
            </w:r>
          </w:p>
        </w:tc>
        <w:tc>
          <w:tcPr>
            <w:tcW w:w="1516" w:type="dxa"/>
          </w:tcPr>
          <w:p w:rsidR="00340908" w:rsidRPr="00760ECB" w:rsidRDefault="00A22999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lastRenderedPageBreak/>
              <w:t>366792</w:t>
            </w:r>
          </w:p>
        </w:tc>
        <w:tc>
          <w:tcPr>
            <w:tcW w:w="1854" w:type="dxa"/>
          </w:tcPr>
          <w:p w:rsidR="00340908" w:rsidRPr="00760ECB" w:rsidRDefault="00A22999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84362</w:t>
            </w:r>
          </w:p>
        </w:tc>
        <w:tc>
          <w:tcPr>
            <w:tcW w:w="1437" w:type="dxa"/>
          </w:tcPr>
          <w:p w:rsidR="00340908" w:rsidRPr="00760ECB" w:rsidRDefault="00A22999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16506</w:t>
            </w:r>
          </w:p>
        </w:tc>
        <w:tc>
          <w:tcPr>
            <w:tcW w:w="1227" w:type="dxa"/>
          </w:tcPr>
          <w:p w:rsidR="00340908" w:rsidRPr="00760ECB" w:rsidRDefault="00A22999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467660</w:t>
            </w:r>
          </w:p>
        </w:tc>
      </w:tr>
      <w:tr w:rsidR="000B6DD1" w:rsidRPr="00760ECB" w:rsidTr="00760ECB">
        <w:tc>
          <w:tcPr>
            <w:tcW w:w="543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lastRenderedPageBreak/>
              <w:t>12</w:t>
            </w:r>
          </w:p>
        </w:tc>
        <w:tc>
          <w:tcPr>
            <w:tcW w:w="3879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Centrul de plasament pentru persoane vârstnice și cu dizabilități ,,Alexandra </w:t>
            </w:r>
            <w:proofErr w:type="spellStart"/>
            <w:r w:rsidRPr="00760ECB">
              <w:rPr>
                <w:rFonts w:ascii="Times New Roman" w:hAnsi="Times New Roman" w:cs="Times New Roman"/>
                <w:color w:val="000000" w:themeColor="text1"/>
                <w:lang w:val="ro-RO"/>
              </w:rPr>
              <w:t>Grăjdian</w:t>
            </w:r>
            <w:proofErr w:type="spellEnd"/>
            <w:r w:rsidRPr="00760ECB">
              <w:rPr>
                <w:rFonts w:ascii="Times New Roman" w:hAnsi="Times New Roman" w:cs="Times New Roman"/>
                <w:color w:val="000000" w:themeColor="text1"/>
                <w:lang w:val="ro-RO"/>
              </w:rPr>
              <w:t>''</w:t>
            </w:r>
          </w:p>
        </w:tc>
        <w:tc>
          <w:tcPr>
            <w:tcW w:w="1516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33300</w:t>
            </w:r>
          </w:p>
        </w:tc>
        <w:tc>
          <w:tcPr>
            <w:tcW w:w="1854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7700</w:t>
            </w:r>
          </w:p>
        </w:tc>
        <w:tc>
          <w:tcPr>
            <w:tcW w:w="143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1500</w:t>
            </w:r>
          </w:p>
        </w:tc>
        <w:tc>
          <w:tcPr>
            <w:tcW w:w="1227" w:type="dxa"/>
          </w:tcPr>
          <w:p w:rsidR="00340908" w:rsidRPr="00760ECB" w:rsidRDefault="00340908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42500</w:t>
            </w:r>
          </w:p>
        </w:tc>
      </w:tr>
      <w:tr w:rsidR="000B6DD1" w:rsidRPr="00760ECB" w:rsidTr="00760ECB">
        <w:tc>
          <w:tcPr>
            <w:tcW w:w="543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879" w:type="dxa"/>
          </w:tcPr>
          <w:p w:rsidR="00340908" w:rsidRPr="00760ECB" w:rsidRDefault="00340908" w:rsidP="00511230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60ECB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Total:</w:t>
            </w:r>
          </w:p>
        </w:tc>
        <w:tc>
          <w:tcPr>
            <w:tcW w:w="1516" w:type="dxa"/>
          </w:tcPr>
          <w:p w:rsidR="00340908" w:rsidRPr="00760ECB" w:rsidRDefault="00812F72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949504</w:t>
            </w:r>
          </w:p>
        </w:tc>
        <w:tc>
          <w:tcPr>
            <w:tcW w:w="1854" w:type="dxa"/>
          </w:tcPr>
          <w:p w:rsidR="00340908" w:rsidRPr="00760ECB" w:rsidRDefault="00812F72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218436</w:t>
            </w:r>
          </w:p>
        </w:tc>
        <w:tc>
          <w:tcPr>
            <w:tcW w:w="1437" w:type="dxa"/>
          </w:tcPr>
          <w:p w:rsidR="00340908" w:rsidRPr="00760ECB" w:rsidRDefault="00812F72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42743</w:t>
            </w:r>
          </w:p>
        </w:tc>
        <w:tc>
          <w:tcPr>
            <w:tcW w:w="1227" w:type="dxa"/>
          </w:tcPr>
          <w:p w:rsidR="00340908" w:rsidRPr="00760ECB" w:rsidRDefault="00812F72" w:rsidP="00760ECB">
            <w:pPr>
              <w:tabs>
                <w:tab w:val="left" w:pos="426"/>
              </w:tabs>
              <w:contextualSpacing/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</w:pPr>
            <w:r w:rsidRPr="00760ECB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u w:val="none"/>
                <w:bdr w:val="none" w:sz="0" w:space="0" w:color="auto" w:frame="1"/>
                <w:lang w:val="ro-RO"/>
              </w:rPr>
              <w:t>1210683</w:t>
            </w:r>
          </w:p>
        </w:tc>
      </w:tr>
    </w:tbl>
    <w:p w:rsidR="00B67A02" w:rsidRPr="00760ECB" w:rsidRDefault="00556265" w:rsidP="00760ECB">
      <w:pPr>
        <w:pStyle w:val="Listparagraf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Se alocă </w:t>
      </w:r>
      <w:r w:rsidR="00B8564F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520280 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lei </w:t>
      </w:r>
      <w:r w:rsidR="00923007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din </w:t>
      </w:r>
      <w:r w:rsidR="00923007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Componenta raională a transferurilor cu </w:t>
      </w:r>
      <w:r w:rsidR="00760ECB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destinație</w:t>
      </w:r>
      <w:r w:rsidR="00923007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specială </w:t>
      </w:r>
      <w:r w:rsidR="006C67A1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pe</w:t>
      </w:r>
      <w:r w:rsid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ntru</w:t>
      </w:r>
      <w:r w:rsidR="006C67A1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anul 2020 după cum urmează:</w:t>
      </w:r>
    </w:p>
    <w:p w:rsidR="006C67A1" w:rsidRPr="00760ECB" w:rsidRDefault="006C67A1" w:rsidP="00760ECB">
      <w:pPr>
        <w:pStyle w:val="Listparagraf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0D1D97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415</w:t>
      </w:r>
      <w:r w:rsidR="000D1D97" w:rsidRPr="00760ECB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  <w:lang w:val="ro-RO"/>
        </w:rPr>
        <w:t>00 lei</w:t>
      </w:r>
      <w:r w:rsidR="000D1D97" w:rsidRPr="00760ECB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o-RO"/>
        </w:rPr>
        <w:t>, bugetului Aparatului Direcției Educație întru procurarea a 38</w:t>
      </w:r>
      <w:r w:rsidR="008A7611" w:rsidRPr="00760ECB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o-RO"/>
        </w:rPr>
        <w:t xml:space="preserve"> de termometre infraroșu</w:t>
      </w:r>
      <w:r w:rsidR="000D1D97" w:rsidRPr="00760ECB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o-RO"/>
        </w:rPr>
        <w:t xml:space="preserve"> </w:t>
      </w:r>
      <w:r w:rsidR="008A7611" w:rsidRPr="00760ECB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o-RO"/>
        </w:rPr>
        <w:t xml:space="preserve">necesare pentru efectuarea termometriei în vederea funcționalității instituțiilor de învățământ în contextul situației </w:t>
      </w:r>
      <w:r w:rsidR="00760ECB" w:rsidRPr="00760ECB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o-RO"/>
        </w:rPr>
        <w:t>epidemiologice</w:t>
      </w:r>
      <w:r w:rsidR="008A7611" w:rsidRPr="00760ECB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o-RO"/>
        </w:rPr>
        <w:t xml:space="preserve"> din țară</w:t>
      </w:r>
      <w:r w:rsidR="006C77B3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6175A7" w:rsidRPr="00760ECB" w:rsidRDefault="006C67A1" w:rsidP="00760ECB">
      <w:pPr>
        <w:pStyle w:val="Listparagraf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5D4FC0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26</w:t>
      </w:r>
      <w:r w:rsidR="00143C31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0</w:t>
      </w:r>
      <w:r w:rsidR="006175A7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00 </w:t>
      </w:r>
      <w:r w:rsidR="006175A7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lei,</w:t>
      </w:r>
      <w:r w:rsidR="006175A7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E750E1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bugetului </w:t>
      </w:r>
      <w:r w:rsidR="006175A7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Gimna</w:t>
      </w:r>
      <w:r w:rsidR="006C77B3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ziului </w:t>
      </w:r>
      <w:r w:rsidR="005D4FC0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Bălțata</w:t>
      </w:r>
      <w:r w:rsidR="006C77B3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pentru achiz</w:t>
      </w:r>
      <w:r w:rsidR="005D4FC0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iționarea mobilierului (mese, scaune</w:t>
      </w:r>
      <w:r w:rsid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pentru</w:t>
      </w:r>
      <w:r w:rsidR="005D4FC0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elevi</w:t>
      </w:r>
      <w:r w:rsidR="008F387E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);</w:t>
      </w:r>
    </w:p>
    <w:p w:rsidR="00CD498A" w:rsidRPr="00760ECB" w:rsidRDefault="00015EA7" w:rsidP="00760ECB">
      <w:pPr>
        <w:pStyle w:val="Listparagraf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D00270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22000</w:t>
      </w: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lei,</w:t>
      </w:r>
      <w:r w:rsidR="00E750E1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bugetului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674E90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Gimnaziului Drăsliceni, pentru lucrări </w:t>
      </w:r>
      <w:r w:rsidR="00D00270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reparație parțială a sistemului de scurgere a apelor pluviale</w:t>
      </w:r>
      <w:r w:rsidR="00674E90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B67A02" w:rsidRPr="00760ECB" w:rsidRDefault="00870B13" w:rsidP="00760ECB">
      <w:pPr>
        <w:pStyle w:val="Listparagraf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9E548B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51780</w:t>
      </w:r>
      <w:r w:rsidR="00324FCE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324FCE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lei, </w:t>
      </w:r>
      <w:r w:rsidR="00E750E1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bugetului </w:t>
      </w:r>
      <w:r w:rsidR="00324FCE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Școlii Primare Criuleni, pentru </w:t>
      </w:r>
      <w:r w:rsidR="009E548B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lucrări de amenajare în fața </w:t>
      </w:r>
      <w:r w:rsidR="00760ECB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instituției</w:t>
      </w:r>
      <w:r w:rsidR="009E548B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cu pavaj</w:t>
      </w:r>
      <w:r w:rsidR="00324FCE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161C18" w:rsidRPr="00760ECB" w:rsidRDefault="00872F74" w:rsidP="00760ECB">
      <w:pPr>
        <w:pStyle w:val="Listparagraf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5D4FC0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142600</w:t>
      </w:r>
      <w:r w:rsidR="00BC5150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BC5150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lei</w:t>
      </w:r>
      <w:r w:rsidR="00161C18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bugetului Gimnaziului Izbiște:</w:t>
      </w:r>
    </w:p>
    <w:p w:rsidR="00872F74" w:rsidRPr="00760ECB" w:rsidRDefault="00161C18" w:rsidP="00760ECB">
      <w:pPr>
        <w:pStyle w:val="Listparagraf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53900 lei, </w:t>
      </w:r>
      <w:r w:rsidR="00872F74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pentru </w:t>
      </w:r>
      <w:r w:rsidR="005D4FC0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achitarea lucrărilor de reparație a</w:t>
      </w:r>
      <w:r w:rsidR="00B8564F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haznalei</w:t>
      </w:r>
      <w:r w:rsidR="005D4FC0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72F74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161C18" w:rsidRPr="00760ECB" w:rsidRDefault="00161C18" w:rsidP="00760ECB">
      <w:pPr>
        <w:pStyle w:val="Listparagraf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88700 lei, pentru contribuție la </w:t>
      </w:r>
      <w:r w:rsidR="00760ECB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implementarea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proiectului de eficientizare energetică</w:t>
      </w:r>
      <w:r w:rsidR="005D4FC0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(suplimentar la diferența necesară a contribuției, conform acordului semnat cu Agenția pentru Eficiență Energetică)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7303DF" w:rsidRPr="00760ECB" w:rsidRDefault="00161C18" w:rsidP="00760ECB">
      <w:pPr>
        <w:pStyle w:val="Listparagraf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205</w:t>
      </w:r>
      <w:r w:rsidR="007303DF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00 </w:t>
      </w:r>
      <w:r w:rsidR="007303DF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lei, bugetului Gimnaziului Slobozia</w:t>
      </w:r>
      <w:r w:rsidR="00D40AB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7303DF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Dușca, </w:t>
      </w:r>
      <w:r w:rsidR="008955F1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pentru achitarea 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suplimentară</w:t>
      </w:r>
      <w:r w:rsidR="008955F1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 lucrărilor de reparație a cantinei;</w:t>
      </w:r>
    </w:p>
    <w:p w:rsidR="008955F1" w:rsidRPr="00760ECB" w:rsidRDefault="00D00270" w:rsidP="00760ECB">
      <w:pPr>
        <w:pStyle w:val="Listparagraf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45900</w:t>
      </w:r>
      <w:r w:rsidR="008955F1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8955F1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lei, bug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etului Gimnaziului </w:t>
      </w:r>
      <w:proofErr w:type="spellStart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Hîrtopul</w:t>
      </w:r>
      <w:proofErr w:type="spellEnd"/>
      <w:r w:rsidR="00D40AB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Mic</w:t>
      </w:r>
      <w:r w:rsidR="008955F1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pentru achitarea lucrărilor de 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reparație parțială a depozitului la cantina instituției</w:t>
      </w:r>
      <w:r w:rsidR="008955F1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9E548B" w:rsidRPr="00760ECB" w:rsidRDefault="009E548B" w:rsidP="00760ECB">
      <w:pPr>
        <w:pStyle w:val="Listparagraf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60000</w:t>
      </w:r>
      <w:r w:rsidR="008955F1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8955F1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lei, bugetului Gimnaziului 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Ratuș:</w:t>
      </w:r>
    </w:p>
    <w:p w:rsidR="009E548B" w:rsidRPr="00760ECB" w:rsidRDefault="009E548B" w:rsidP="00760ECB">
      <w:pPr>
        <w:pStyle w:val="Listparagraf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20000 </w:t>
      </w:r>
      <w:r w:rsidR="00D40AB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lei , 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pentru asigurarea elevilor cu apa potabilă, pentru spălarea mâinilor;</w:t>
      </w:r>
    </w:p>
    <w:p w:rsidR="009E548B" w:rsidRPr="00760ECB" w:rsidRDefault="009E548B" w:rsidP="00760ECB">
      <w:pPr>
        <w:pStyle w:val="Listparagraf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40000 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lei, pentru achitarea lucrărilor suplimentare la reparația împrejurimii terenului de minifotbal;</w:t>
      </w:r>
    </w:p>
    <w:p w:rsidR="005D4FC0" w:rsidRPr="00760ECB" w:rsidRDefault="005D4FC0" w:rsidP="00760ECB">
      <w:pPr>
        <w:pStyle w:val="Listparagraf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60000</w:t>
      </w:r>
      <w:r w:rsidR="00784010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784010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lei, bugetului Gimnaziului </w:t>
      </w:r>
      <w:proofErr w:type="spellStart"/>
      <w:r w:rsidR="00784010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Stețcani</w:t>
      </w:r>
      <w:proofErr w:type="spellEnd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  <w:r w:rsidR="00D40AB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784010" w:rsidRPr="00760ECB" w:rsidRDefault="005D4FC0" w:rsidP="00760ECB">
      <w:pPr>
        <w:pStyle w:val="Listparagraf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13000 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lei </w:t>
      </w:r>
      <w:r w:rsidR="00784010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pentru procurarea mobilieru</w:t>
      </w:r>
      <w:r w:rsidR="00D40AB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lu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D40AB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claselor I-îi</w:t>
      </w:r>
      <w:r w:rsidR="00784010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9E548B" w:rsidRPr="00760ECB" w:rsidRDefault="009E548B" w:rsidP="00760ECB">
      <w:pPr>
        <w:pStyle w:val="Listparagraf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47000 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lei, pentru achitarea lucrărilor suplimentare la reparația parțială a </w:t>
      </w:r>
      <w:r w:rsidR="00D40ABF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fațadei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gimnaziului;</w:t>
      </w:r>
    </w:p>
    <w:p w:rsidR="00414129" w:rsidRPr="00760ECB" w:rsidRDefault="00161C18" w:rsidP="00760ECB">
      <w:pPr>
        <w:pStyle w:val="Listparagraf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50000</w:t>
      </w:r>
      <w:r w:rsidR="00414129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414129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lei, </w:t>
      </w:r>
      <w:r w:rsidR="00D40AB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</w:t>
      </w:r>
      <w:r w:rsidR="00414129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ugetului gimnaziului Hrușova, pentru cheltuieli de reparație parțială 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sălii sportive</w:t>
      </w:r>
      <w:r w:rsidR="00414129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D00270" w:rsidRPr="00760ECB" w:rsidRDefault="00D00270" w:rsidP="00760ECB">
      <w:pPr>
        <w:pStyle w:val="Listparagraf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o-RO"/>
        </w:rPr>
        <w:t xml:space="preserve">Se modifică destinația utilizării mijloacelor financiare în  sumă de </w:t>
      </w:r>
      <w:r w:rsidRPr="00760ECB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  <w:lang w:val="ro-RO"/>
        </w:rPr>
        <w:t>183676</w:t>
      </w:r>
      <w:r w:rsidRPr="00760ECB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o-RO"/>
        </w:rPr>
        <w:t xml:space="preserve"> lei, alocate Liceului Teoretic „Boris </w:t>
      </w:r>
      <w:proofErr w:type="spellStart"/>
      <w:r w:rsidRPr="00760ECB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o-RO"/>
        </w:rPr>
        <w:t>Dînga</w:t>
      </w:r>
      <w:proofErr w:type="spellEnd"/>
      <w:r w:rsidRPr="00760ECB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o-RO"/>
        </w:rPr>
        <w:t>” Criuleni, prevăzute în programul de reparații în anul 2020 a instituțiilor de învățământ din raion pentru achitarea parțială a lucrărilor de reparație a cantinei, utilizând suma respectivă spre achitarea lucrărilor de instalare a rețelei de</w:t>
      </w:r>
      <w:r w:rsidR="00006FEC" w:rsidRPr="00760ECB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o-RO"/>
        </w:rPr>
        <w:t xml:space="preserve"> </w:t>
      </w:r>
      <w:r w:rsidRPr="00760ECB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val="ro-RO"/>
        </w:rPr>
        <w:t>internet și dotarea cu utilaj a depozitului cantinei;</w:t>
      </w:r>
    </w:p>
    <w:p w:rsidR="00EF170D" w:rsidRPr="00760ECB" w:rsidRDefault="00D40ABF" w:rsidP="00760ECB">
      <w:pPr>
        <w:pStyle w:val="Listparagraf"/>
        <w:numPr>
          <w:ilvl w:val="0"/>
          <w:numId w:val="11"/>
        </w:numPr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Responsabili</w:t>
      </w:r>
      <w:r w:rsidR="00EF170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executare</w:t>
      </w:r>
      <w:r w:rsidR="008C0334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 deciziei se numesc dna O. Simon</w:t>
      </w:r>
      <w:r w:rsidR="00EF170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EF170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şef</w:t>
      </w:r>
      <w:proofErr w:type="spellEnd"/>
      <w:r w:rsidR="00EF170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EF170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Direcţia</w:t>
      </w:r>
      <w:proofErr w:type="spellEnd"/>
      <w:r w:rsidR="00EF170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EF170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Finanţe</w:t>
      </w:r>
      <w:proofErr w:type="spellEnd"/>
      <w:r w:rsidR="00EF170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contabil</w:t>
      </w:r>
      <w:r w:rsidR="00340908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</w:t>
      </w:r>
      <w:r w:rsidR="00EF170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proofErr w:type="spellStart"/>
      <w:r w:rsidR="00EF170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şef</w:t>
      </w:r>
      <w:r w:rsidR="00340908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proofErr w:type="spellEnd"/>
      <w:r w:rsidR="00340908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 direcțiilor, secțiilor, instituțiilor publice din subordinea Consiliului raional</w:t>
      </w:r>
      <w:r w:rsidR="00EF170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directorii </w:t>
      </w:r>
      <w:proofErr w:type="spellStart"/>
      <w:r w:rsidR="00EF170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instituţiilor</w:t>
      </w:r>
      <w:proofErr w:type="spellEnd"/>
      <w:r w:rsidR="00EF170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</w:t>
      </w:r>
      <w:proofErr w:type="spellStart"/>
      <w:r w:rsidR="00EF170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învăţământ</w:t>
      </w:r>
      <w:proofErr w:type="spellEnd"/>
      <w:r w:rsidR="00EF170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preuniversitar, primarii satelor, comunelor </w:t>
      </w:r>
      <w:proofErr w:type="spellStart"/>
      <w:r w:rsidR="00EF170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nominalizaţi</w:t>
      </w:r>
      <w:proofErr w:type="spellEnd"/>
      <w:r w:rsidR="00EF170D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decizie.</w:t>
      </w:r>
    </w:p>
    <w:p w:rsidR="00EF170D" w:rsidRPr="00760ECB" w:rsidRDefault="00EF170D" w:rsidP="00760ECB">
      <w:pPr>
        <w:pStyle w:val="Listparagraf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Controlul executării deciziei va fi asigurat de către </w:t>
      </w:r>
      <w:proofErr w:type="spellStart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Preşedintele</w:t>
      </w:r>
      <w:proofErr w:type="spellEnd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raionului Criuleni.</w:t>
      </w:r>
    </w:p>
    <w:p w:rsidR="00EF170D" w:rsidRPr="00760ECB" w:rsidRDefault="00EF170D" w:rsidP="00EF170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912D05" w:rsidRPr="00760ECB" w:rsidRDefault="00912D05" w:rsidP="00912D05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</w:t>
      </w:r>
      <w:proofErr w:type="spellStart"/>
      <w:r w:rsidR="00EF170D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Preşedintele</w:t>
      </w:r>
      <w:proofErr w:type="spellEnd"/>
      <w:r w:rsidR="00EF170D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EF170D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şedinţei</w:t>
      </w:r>
      <w:proofErr w:type="spellEnd"/>
    </w:p>
    <w:p w:rsidR="00FB02D5" w:rsidRPr="00760ECB" w:rsidRDefault="00912D05" w:rsidP="00912D05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</w:t>
      </w:r>
    </w:p>
    <w:p w:rsidR="00EF170D" w:rsidRPr="00760ECB" w:rsidRDefault="00FB02D5" w:rsidP="00912D05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</w:t>
      </w:r>
      <w:r w:rsidR="00EF170D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Secretarul Consiliului raional Criuleni                                        </w:t>
      </w:r>
      <w:r w:rsidR="00912D05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</w:t>
      </w:r>
      <w:r w:rsidR="00EF170D" w:rsidRPr="00760EC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Diana RUSU</w:t>
      </w:r>
    </w:p>
    <w:p w:rsidR="00F54BD5" w:rsidRPr="00760ECB" w:rsidRDefault="00F54BD5" w:rsidP="00912D05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337780" w:rsidRPr="00760ECB" w:rsidRDefault="003110A2" w:rsidP="00912D05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Elaborat: Olga Simon</w:t>
      </w:r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F3423A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ef</w:t>
      </w:r>
      <w:proofErr w:type="spellEnd"/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Direc</w:t>
      </w:r>
      <w:r w:rsidR="00FB5B84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</w:t>
      </w:r>
      <w:proofErr w:type="spellEnd"/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Finan</w:t>
      </w:r>
      <w:r w:rsidR="00FB5B84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</w:t>
      </w:r>
      <w:proofErr w:type="spellEnd"/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337780" w:rsidRPr="00760ECB" w:rsidRDefault="00337780" w:rsidP="00912D05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F54BD5" w:rsidRPr="00760ECB" w:rsidRDefault="003110A2" w:rsidP="00912D05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Coordonat: Pavel </w:t>
      </w:r>
      <w:proofErr w:type="spellStart"/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Spînu</w:t>
      </w:r>
      <w:proofErr w:type="spellEnd"/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Pre</w:t>
      </w:r>
      <w:r w:rsidR="00F3423A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edintele</w:t>
      </w:r>
      <w:proofErr w:type="spellEnd"/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raionului Criuleni;</w:t>
      </w:r>
    </w:p>
    <w:p w:rsidR="00337780" w:rsidRPr="00760ECB" w:rsidRDefault="00337780" w:rsidP="00912D05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F54BD5" w:rsidRPr="00760ECB" w:rsidRDefault="00F54BD5" w:rsidP="00912D05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Avizat</w:t>
      </w:r>
      <w:r w:rsidR="00337780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Diana Rusu, secretarul Consiliului raional;</w:t>
      </w:r>
    </w:p>
    <w:p w:rsidR="00F54BD5" w:rsidRPr="00760ECB" w:rsidRDefault="00337780" w:rsidP="00912D05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</w:t>
      </w:r>
      <w:proofErr w:type="spellStart"/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Sec</w:t>
      </w:r>
      <w:r w:rsidR="00FB5B84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</w:t>
      </w:r>
      <w:proofErr w:type="spellEnd"/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asisten</w:t>
      </w:r>
      <w:r w:rsidR="00FB5B84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proofErr w:type="spellEnd"/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juridică </w:t>
      </w:r>
      <w:proofErr w:type="spellStart"/>
      <w:r w:rsidR="00F3423A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proofErr w:type="spellEnd"/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rela</w:t>
      </w:r>
      <w:r w:rsidR="00FB5B84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ii</w:t>
      </w:r>
      <w:proofErr w:type="spellEnd"/>
      <w:r w:rsidR="00F54BD5"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cu publicul</w:t>
      </w:r>
      <w:r w:rsidRPr="00760E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bookmarkStart w:id="0" w:name="_GoBack"/>
      <w:bookmarkEnd w:id="0"/>
    </w:p>
    <w:sectPr w:rsidR="00F54BD5" w:rsidRPr="00760ECB" w:rsidSect="00760ECB">
      <w:pgSz w:w="11906" w:h="16838" w:code="9"/>
      <w:pgMar w:top="567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CD8"/>
    <w:multiLevelType w:val="hybridMultilevel"/>
    <w:tmpl w:val="EEF8589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D7BEB"/>
    <w:multiLevelType w:val="hybridMultilevel"/>
    <w:tmpl w:val="92C62E5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D50B9"/>
    <w:multiLevelType w:val="hybridMultilevel"/>
    <w:tmpl w:val="F0C2D278"/>
    <w:lvl w:ilvl="0" w:tplc="7D189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861"/>
    <w:multiLevelType w:val="hybridMultilevel"/>
    <w:tmpl w:val="BC00DF4E"/>
    <w:lvl w:ilvl="0" w:tplc="484E29A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15C7F"/>
    <w:multiLevelType w:val="multilevel"/>
    <w:tmpl w:val="EE40A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C34CB7"/>
    <w:multiLevelType w:val="multilevel"/>
    <w:tmpl w:val="43A2F8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01A6A17"/>
    <w:multiLevelType w:val="hybridMultilevel"/>
    <w:tmpl w:val="868AD0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D58E5"/>
    <w:multiLevelType w:val="multilevel"/>
    <w:tmpl w:val="7A129CC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40849"/>
    <w:multiLevelType w:val="hybridMultilevel"/>
    <w:tmpl w:val="11C614AE"/>
    <w:lvl w:ilvl="0" w:tplc="04190017">
      <w:start w:val="1"/>
      <w:numFmt w:val="lowerLetter"/>
      <w:lvlText w:val="%1)"/>
      <w:lvlJc w:val="left"/>
      <w:pPr>
        <w:ind w:left="778" w:hanging="360"/>
      </w:pPr>
    </w:lvl>
    <w:lvl w:ilvl="1" w:tplc="04190019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1B0E1999"/>
    <w:multiLevelType w:val="multilevel"/>
    <w:tmpl w:val="43A2F8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EA3032C"/>
    <w:multiLevelType w:val="hybridMultilevel"/>
    <w:tmpl w:val="0854E7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F2D17"/>
    <w:multiLevelType w:val="hybridMultilevel"/>
    <w:tmpl w:val="E43A2124"/>
    <w:lvl w:ilvl="0" w:tplc="039CCA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B1FAB"/>
    <w:multiLevelType w:val="multilevel"/>
    <w:tmpl w:val="DF623D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194540A"/>
    <w:multiLevelType w:val="hybridMultilevel"/>
    <w:tmpl w:val="79CAA2B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1121FA"/>
    <w:multiLevelType w:val="hybridMultilevel"/>
    <w:tmpl w:val="45426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90C1C"/>
    <w:multiLevelType w:val="hybridMultilevel"/>
    <w:tmpl w:val="8CA06F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B3A2A"/>
    <w:multiLevelType w:val="hybridMultilevel"/>
    <w:tmpl w:val="CE54EB72"/>
    <w:lvl w:ilvl="0" w:tplc="6ED434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31E22"/>
    <w:multiLevelType w:val="hybridMultilevel"/>
    <w:tmpl w:val="4C862F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6718C"/>
    <w:multiLevelType w:val="hybridMultilevel"/>
    <w:tmpl w:val="94F86280"/>
    <w:lvl w:ilvl="0" w:tplc="04190017">
      <w:start w:val="1"/>
      <w:numFmt w:val="lowerLetter"/>
      <w:lvlText w:val="%1)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9" w15:restartNumberingAfterBreak="0">
    <w:nsid w:val="3ED1211C"/>
    <w:multiLevelType w:val="hybridMultilevel"/>
    <w:tmpl w:val="CBAE52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45A2A"/>
    <w:multiLevelType w:val="multilevel"/>
    <w:tmpl w:val="EFB6B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3D3FF0"/>
    <w:multiLevelType w:val="hybridMultilevel"/>
    <w:tmpl w:val="2E969010"/>
    <w:lvl w:ilvl="0" w:tplc="F10ABFAC">
      <w:start w:val="1"/>
      <w:numFmt w:val="lowerLetter"/>
      <w:lvlText w:val="%1)"/>
      <w:lvlJc w:val="left"/>
      <w:pPr>
        <w:ind w:left="1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2" w15:restartNumberingAfterBreak="0">
    <w:nsid w:val="45E350FF"/>
    <w:multiLevelType w:val="hybridMultilevel"/>
    <w:tmpl w:val="1F2C25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26043"/>
    <w:multiLevelType w:val="multilevel"/>
    <w:tmpl w:val="D04E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8BB79D8"/>
    <w:multiLevelType w:val="multilevel"/>
    <w:tmpl w:val="EFB6B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3D1FFC"/>
    <w:multiLevelType w:val="hybridMultilevel"/>
    <w:tmpl w:val="95489866"/>
    <w:lvl w:ilvl="0" w:tplc="04190017">
      <w:start w:val="1"/>
      <w:numFmt w:val="lowerLetter"/>
      <w:lvlText w:val="%1)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6" w15:restartNumberingAfterBreak="0">
    <w:nsid w:val="552365F0"/>
    <w:multiLevelType w:val="hybridMultilevel"/>
    <w:tmpl w:val="F7C03C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E6CB1"/>
    <w:multiLevelType w:val="multilevel"/>
    <w:tmpl w:val="43A2F8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9D05A96"/>
    <w:multiLevelType w:val="hybridMultilevel"/>
    <w:tmpl w:val="DB82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564FF"/>
    <w:multiLevelType w:val="hybridMultilevel"/>
    <w:tmpl w:val="A2CE2F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A86276"/>
    <w:multiLevelType w:val="hybridMultilevel"/>
    <w:tmpl w:val="058AD0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60989"/>
    <w:multiLevelType w:val="hybridMultilevel"/>
    <w:tmpl w:val="175C6788"/>
    <w:lvl w:ilvl="0" w:tplc="04190017">
      <w:start w:val="1"/>
      <w:numFmt w:val="lowerLetter"/>
      <w:lvlText w:val="%1)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 w15:restartNumberingAfterBreak="0">
    <w:nsid w:val="74DF5EA2"/>
    <w:multiLevelType w:val="hybridMultilevel"/>
    <w:tmpl w:val="8E9EB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CD6B79"/>
    <w:multiLevelType w:val="hybridMultilevel"/>
    <w:tmpl w:val="5964C56E"/>
    <w:lvl w:ilvl="0" w:tplc="C0D2BD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8277E"/>
    <w:multiLevelType w:val="multilevel"/>
    <w:tmpl w:val="D0CCDB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1"/>
  </w:num>
  <w:num w:numId="5">
    <w:abstractNumId w:val="17"/>
  </w:num>
  <w:num w:numId="6">
    <w:abstractNumId w:val="16"/>
  </w:num>
  <w:num w:numId="7">
    <w:abstractNumId w:val="6"/>
  </w:num>
  <w:num w:numId="8">
    <w:abstractNumId w:val="34"/>
  </w:num>
  <w:num w:numId="9">
    <w:abstractNumId w:val="20"/>
  </w:num>
  <w:num w:numId="10">
    <w:abstractNumId w:val="24"/>
  </w:num>
  <w:num w:numId="11">
    <w:abstractNumId w:val="12"/>
  </w:num>
  <w:num w:numId="12">
    <w:abstractNumId w:val="27"/>
  </w:num>
  <w:num w:numId="13">
    <w:abstractNumId w:val="10"/>
  </w:num>
  <w:num w:numId="14">
    <w:abstractNumId w:val="7"/>
  </w:num>
  <w:num w:numId="15">
    <w:abstractNumId w:val="4"/>
  </w:num>
  <w:num w:numId="16">
    <w:abstractNumId w:val="9"/>
  </w:num>
  <w:num w:numId="17">
    <w:abstractNumId w:val="32"/>
  </w:num>
  <w:num w:numId="18">
    <w:abstractNumId w:val="0"/>
  </w:num>
  <w:num w:numId="19">
    <w:abstractNumId w:val="33"/>
  </w:num>
  <w:num w:numId="20">
    <w:abstractNumId w:val="28"/>
  </w:num>
  <w:num w:numId="21">
    <w:abstractNumId w:val="29"/>
  </w:num>
  <w:num w:numId="22">
    <w:abstractNumId w:val="8"/>
  </w:num>
  <w:num w:numId="23">
    <w:abstractNumId w:val="26"/>
  </w:num>
  <w:num w:numId="24">
    <w:abstractNumId w:val="15"/>
  </w:num>
  <w:num w:numId="25">
    <w:abstractNumId w:val="22"/>
  </w:num>
  <w:num w:numId="26">
    <w:abstractNumId w:val="30"/>
  </w:num>
  <w:num w:numId="27">
    <w:abstractNumId w:val="3"/>
  </w:num>
  <w:num w:numId="28">
    <w:abstractNumId w:val="21"/>
  </w:num>
  <w:num w:numId="29">
    <w:abstractNumId w:val="5"/>
  </w:num>
  <w:num w:numId="30">
    <w:abstractNumId w:val="23"/>
  </w:num>
  <w:num w:numId="31">
    <w:abstractNumId w:val="31"/>
  </w:num>
  <w:num w:numId="32">
    <w:abstractNumId w:val="25"/>
  </w:num>
  <w:num w:numId="33">
    <w:abstractNumId w:val="1"/>
  </w:num>
  <w:num w:numId="34">
    <w:abstractNumId w:val="1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E728B"/>
    <w:rsid w:val="0000168B"/>
    <w:rsid w:val="0000185E"/>
    <w:rsid w:val="00006FEC"/>
    <w:rsid w:val="000075C2"/>
    <w:rsid w:val="00015EA7"/>
    <w:rsid w:val="00021E58"/>
    <w:rsid w:val="00043F92"/>
    <w:rsid w:val="00051EAB"/>
    <w:rsid w:val="00065A4B"/>
    <w:rsid w:val="00066271"/>
    <w:rsid w:val="00072B43"/>
    <w:rsid w:val="00081D33"/>
    <w:rsid w:val="00093E59"/>
    <w:rsid w:val="00095AA6"/>
    <w:rsid w:val="000A0401"/>
    <w:rsid w:val="000A0FC3"/>
    <w:rsid w:val="000B164B"/>
    <w:rsid w:val="000B6362"/>
    <w:rsid w:val="000B6DD1"/>
    <w:rsid w:val="000C57C1"/>
    <w:rsid w:val="000D1D97"/>
    <w:rsid w:val="000D1FE7"/>
    <w:rsid w:val="000E728B"/>
    <w:rsid w:val="001055F1"/>
    <w:rsid w:val="00111DE3"/>
    <w:rsid w:val="00125803"/>
    <w:rsid w:val="00130491"/>
    <w:rsid w:val="0014120E"/>
    <w:rsid w:val="00143C31"/>
    <w:rsid w:val="001465D3"/>
    <w:rsid w:val="00161C18"/>
    <w:rsid w:val="00181200"/>
    <w:rsid w:val="001963BF"/>
    <w:rsid w:val="001A694F"/>
    <w:rsid w:val="001B1E20"/>
    <w:rsid w:val="001B53A1"/>
    <w:rsid w:val="001F18EE"/>
    <w:rsid w:val="001F6E57"/>
    <w:rsid w:val="00224DA6"/>
    <w:rsid w:val="0024012C"/>
    <w:rsid w:val="002403D7"/>
    <w:rsid w:val="00250407"/>
    <w:rsid w:val="002606DC"/>
    <w:rsid w:val="002620CF"/>
    <w:rsid w:val="00270B7C"/>
    <w:rsid w:val="00272E59"/>
    <w:rsid w:val="00275342"/>
    <w:rsid w:val="002826BB"/>
    <w:rsid w:val="00286B49"/>
    <w:rsid w:val="00287D93"/>
    <w:rsid w:val="002928D5"/>
    <w:rsid w:val="002A5401"/>
    <w:rsid w:val="002A607F"/>
    <w:rsid w:val="002B1C53"/>
    <w:rsid w:val="002B1CCD"/>
    <w:rsid w:val="002B7277"/>
    <w:rsid w:val="002D61C6"/>
    <w:rsid w:val="002E5F78"/>
    <w:rsid w:val="003100C4"/>
    <w:rsid w:val="003110A2"/>
    <w:rsid w:val="00317E22"/>
    <w:rsid w:val="00322192"/>
    <w:rsid w:val="00324FCE"/>
    <w:rsid w:val="0033456F"/>
    <w:rsid w:val="00337780"/>
    <w:rsid w:val="00340908"/>
    <w:rsid w:val="003435CE"/>
    <w:rsid w:val="00351C83"/>
    <w:rsid w:val="0035514D"/>
    <w:rsid w:val="00356BFD"/>
    <w:rsid w:val="00357C7E"/>
    <w:rsid w:val="003669F4"/>
    <w:rsid w:val="00366CB8"/>
    <w:rsid w:val="00375A2A"/>
    <w:rsid w:val="003816CD"/>
    <w:rsid w:val="003822E8"/>
    <w:rsid w:val="003832B1"/>
    <w:rsid w:val="00390E72"/>
    <w:rsid w:val="00394AD2"/>
    <w:rsid w:val="003971A4"/>
    <w:rsid w:val="003A083A"/>
    <w:rsid w:val="003A599E"/>
    <w:rsid w:val="003B46CB"/>
    <w:rsid w:val="003C006D"/>
    <w:rsid w:val="003C6B76"/>
    <w:rsid w:val="003D6D4B"/>
    <w:rsid w:val="003D6D9B"/>
    <w:rsid w:val="003E3F7F"/>
    <w:rsid w:val="003E6205"/>
    <w:rsid w:val="00403170"/>
    <w:rsid w:val="00406E0E"/>
    <w:rsid w:val="004122D9"/>
    <w:rsid w:val="00414129"/>
    <w:rsid w:val="004258BE"/>
    <w:rsid w:val="00442894"/>
    <w:rsid w:val="004455F1"/>
    <w:rsid w:val="0047270B"/>
    <w:rsid w:val="00476C3D"/>
    <w:rsid w:val="004D3D5E"/>
    <w:rsid w:val="004F1B9D"/>
    <w:rsid w:val="00505ABA"/>
    <w:rsid w:val="00516728"/>
    <w:rsid w:val="0052520E"/>
    <w:rsid w:val="0053664F"/>
    <w:rsid w:val="00551305"/>
    <w:rsid w:val="00556265"/>
    <w:rsid w:val="00556A35"/>
    <w:rsid w:val="0055744F"/>
    <w:rsid w:val="00562670"/>
    <w:rsid w:val="00575F32"/>
    <w:rsid w:val="00582D6B"/>
    <w:rsid w:val="0058349D"/>
    <w:rsid w:val="005A2130"/>
    <w:rsid w:val="005B6279"/>
    <w:rsid w:val="005D4222"/>
    <w:rsid w:val="005D4FC0"/>
    <w:rsid w:val="005E29D0"/>
    <w:rsid w:val="005E4280"/>
    <w:rsid w:val="005E61D4"/>
    <w:rsid w:val="005E6D77"/>
    <w:rsid w:val="0060001E"/>
    <w:rsid w:val="006028AD"/>
    <w:rsid w:val="00605634"/>
    <w:rsid w:val="00614087"/>
    <w:rsid w:val="006175A7"/>
    <w:rsid w:val="00623F3E"/>
    <w:rsid w:val="00633502"/>
    <w:rsid w:val="00646CAD"/>
    <w:rsid w:val="0065751D"/>
    <w:rsid w:val="006648AE"/>
    <w:rsid w:val="00674949"/>
    <w:rsid w:val="00674E90"/>
    <w:rsid w:val="00694288"/>
    <w:rsid w:val="006B5EE8"/>
    <w:rsid w:val="006C3E6B"/>
    <w:rsid w:val="006C67A1"/>
    <w:rsid w:val="006C77B3"/>
    <w:rsid w:val="006D1CC5"/>
    <w:rsid w:val="006D6023"/>
    <w:rsid w:val="006E0CAD"/>
    <w:rsid w:val="006E287D"/>
    <w:rsid w:val="006E5FFB"/>
    <w:rsid w:val="00711C1F"/>
    <w:rsid w:val="00725D16"/>
    <w:rsid w:val="007303DF"/>
    <w:rsid w:val="007324FA"/>
    <w:rsid w:val="00734F65"/>
    <w:rsid w:val="00760ECB"/>
    <w:rsid w:val="007816D5"/>
    <w:rsid w:val="007819E9"/>
    <w:rsid w:val="00782D9F"/>
    <w:rsid w:val="00784010"/>
    <w:rsid w:val="007971BA"/>
    <w:rsid w:val="00797B96"/>
    <w:rsid w:val="007A1283"/>
    <w:rsid w:val="007A4B50"/>
    <w:rsid w:val="007C538B"/>
    <w:rsid w:val="007E6C88"/>
    <w:rsid w:val="00812F72"/>
    <w:rsid w:val="00813972"/>
    <w:rsid w:val="00817233"/>
    <w:rsid w:val="008201E6"/>
    <w:rsid w:val="00821750"/>
    <w:rsid w:val="0085277E"/>
    <w:rsid w:val="00854D70"/>
    <w:rsid w:val="00856164"/>
    <w:rsid w:val="008621FC"/>
    <w:rsid w:val="00870B13"/>
    <w:rsid w:val="00872F74"/>
    <w:rsid w:val="00874169"/>
    <w:rsid w:val="00885D3B"/>
    <w:rsid w:val="00892BEB"/>
    <w:rsid w:val="008955F1"/>
    <w:rsid w:val="008A7611"/>
    <w:rsid w:val="008B10DF"/>
    <w:rsid w:val="008C0334"/>
    <w:rsid w:val="008C0A3F"/>
    <w:rsid w:val="008C2454"/>
    <w:rsid w:val="008D561B"/>
    <w:rsid w:val="008E70F2"/>
    <w:rsid w:val="008E7C83"/>
    <w:rsid w:val="008F387E"/>
    <w:rsid w:val="009074F2"/>
    <w:rsid w:val="00912D05"/>
    <w:rsid w:val="00912DB4"/>
    <w:rsid w:val="00922F77"/>
    <w:rsid w:val="00923007"/>
    <w:rsid w:val="00924061"/>
    <w:rsid w:val="00947397"/>
    <w:rsid w:val="00953501"/>
    <w:rsid w:val="0097485B"/>
    <w:rsid w:val="00976953"/>
    <w:rsid w:val="009832B6"/>
    <w:rsid w:val="009833B8"/>
    <w:rsid w:val="00990F16"/>
    <w:rsid w:val="00992473"/>
    <w:rsid w:val="009A1933"/>
    <w:rsid w:val="009A355F"/>
    <w:rsid w:val="009A713B"/>
    <w:rsid w:val="009D0147"/>
    <w:rsid w:val="009D72A5"/>
    <w:rsid w:val="009E0CAB"/>
    <w:rsid w:val="009E548B"/>
    <w:rsid w:val="009F1244"/>
    <w:rsid w:val="00A02744"/>
    <w:rsid w:val="00A170EC"/>
    <w:rsid w:val="00A201F8"/>
    <w:rsid w:val="00A21332"/>
    <w:rsid w:val="00A22999"/>
    <w:rsid w:val="00A232DD"/>
    <w:rsid w:val="00A266EF"/>
    <w:rsid w:val="00A30061"/>
    <w:rsid w:val="00A60779"/>
    <w:rsid w:val="00A64C7C"/>
    <w:rsid w:val="00A9144C"/>
    <w:rsid w:val="00A954BC"/>
    <w:rsid w:val="00AA11A9"/>
    <w:rsid w:val="00AB5798"/>
    <w:rsid w:val="00AB7591"/>
    <w:rsid w:val="00AC2CC3"/>
    <w:rsid w:val="00AC5A3F"/>
    <w:rsid w:val="00AC6065"/>
    <w:rsid w:val="00AD0BF1"/>
    <w:rsid w:val="00AE2E21"/>
    <w:rsid w:val="00AE50C3"/>
    <w:rsid w:val="00AE62D0"/>
    <w:rsid w:val="00AF0750"/>
    <w:rsid w:val="00AF38E8"/>
    <w:rsid w:val="00B02A96"/>
    <w:rsid w:val="00B13178"/>
    <w:rsid w:val="00B15E66"/>
    <w:rsid w:val="00B36BD5"/>
    <w:rsid w:val="00B3799B"/>
    <w:rsid w:val="00B47DBA"/>
    <w:rsid w:val="00B52585"/>
    <w:rsid w:val="00B62C7A"/>
    <w:rsid w:val="00B67A02"/>
    <w:rsid w:val="00B71CFB"/>
    <w:rsid w:val="00B7298E"/>
    <w:rsid w:val="00B73A64"/>
    <w:rsid w:val="00B73AFD"/>
    <w:rsid w:val="00B8564F"/>
    <w:rsid w:val="00B968C9"/>
    <w:rsid w:val="00B97625"/>
    <w:rsid w:val="00BA4ACF"/>
    <w:rsid w:val="00BC2D81"/>
    <w:rsid w:val="00BC5150"/>
    <w:rsid w:val="00BC62E8"/>
    <w:rsid w:val="00BC6445"/>
    <w:rsid w:val="00BE69BB"/>
    <w:rsid w:val="00BF1B1C"/>
    <w:rsid w:val="00BF2054"/>
    <w:rsid w:val="00BF3945"/>
    <w:rsid w:val="00C05608"/>
    <w:rsid w:val="00C076B7"/>
    <w:rsid w:val="00C07F6B"/>
    <w:rsid w:val="00C108C5"/>
    <w:rsid w:val="00C1520F"/>
    <w:rsid w:val="00C22B6B"/>
    <w:rsid w:val="00C236DC"/>
    <w:rsid w:val="00C26F34"/>
    <w:rsid w:val="00C313EF"/>
    <w:rsid w:val="00C37F59"/>
    <w:rsid w:val="00C614E1"/>
    <w:rsid w:val="00C738E9"/>
    <w:rsid w:val="00C910CC"/>
    <w:rsid w:val="00C91816"/>
    <w:rsid w:val="00CA0682"/>
    <w:rsid w:val="00CB4388"/>
    <w:rsid w:val="00CC21E7"/>
    <w:rsid w:val="00CC5F3D"/>
    <w:rsid w:val="00CD498A"/>
    <w:rsid w:val="00CD533B"/>
    <w:rsid w:val="00CD5B74"/>
    <w:rsid w:val="00CE243F"/>
    <w:rsid w:val="00CF01C3"/>
    <w:rsid w:val="00CF31F2"/>
    <w:rsid w:val="00CF5CE7"/>
    <w:rsid w:val="00D00270"/>
    <w:rsid w:val="00D04409"/>
    <w:rsid w:val="00D1362C"/>
    <w:rsid w:val="00D20053"/>
    <w:rsid w:val="00D314BF"/>
    <w:rsid w:val="00D36879"/>
    <w:rsid w:val="00D40ABF"/>
    <w:rsid w:val="00D46831"/>
    <w:rsid w:val="00D50C02"/>
    <w:rsid w:val="00D54080"/>
    <w:rsid w:val="00D70839"/>
    <w:rsid w:val="00D77A7F"/>
    <w:rsid w:val="00D844FF"/>
    <w:rsid w:val="00D8539F"/>
    <w:rsid w:val="00DA52F3"/>
    <w:rsid w:val="00DE28A3"/>
    <w:rsid w:val="00DE4238"/>
    <w:rsid w:val="00DF42D0"/>
    <w:rsid w:val="00E05D1B"/>
    <w:rsid w:val="00E12334"/>
    <w:rsid w:val="00E2703E"/>
    <w:rsid w:val="00E47613"/>
    <w:rsid w:val="00E520CA"/>
    <w:rsid w:val="00E54C20"/>
    <w:rsid w:val="00E618C9"/>
    <w:rsid w:val="00E6698E"/>
    <w:rsid w:val="00E745DC"/>
    <w:rsid w:val="00E750E1"/>
    <w:rsid w:val="00EB216E"/>
    <w:rsid w:val="00EB79FF"/>
    <w:rsid w:val="00EB7F26"/>
    <w:rsid w:val="00EC4403"/>
    <w:rsid w:val="00EC634E"/>
    <w:rsid w:val="00EC72A7"/>
    <w:rsid w:val="00ED495C"/>
    <w:rsid w:val="00ED5D60"/>
    <w:rsid w:val="00EE5085"/>
    <w:rsid w:val="00EF0A26"/>
    <w:rsid w:val="00EF170D"/>
    <w:rsid w:val="00EF67BA"/>
    <w:rsid w:val="00EF6A29"/>
    <w:rsid w:val="00F06D1D"/>
    <w:rsid w:val="00F134CD"/>
    <w:rsid w:val="00F24173"/>
    <w:rsid w:val="00F2551B"/>
    <w:rsid w:val="00F3423A"/>
    <w:rsid w:val="00F36573"/>
    <w:rsid w:val="00F366ED"/>
    <w:rsid w:val="00F427F3"/>
    <w:rsid w:val="00F45374"/>
    <w:rsid w:val="00F46512"/>
    <w:rsid w:val="00F518D2"/>
    <w:rsid w:val="00F53D7A"/>
    <w:rsid w:val="00F54BD5"/>
    <w:rsid w:val="00F61F2C"/>
    <w:rsid w:val="00F67E0C"/>
    <w:rsid w:val="00F7052C"/>
    <w:rsid w:val="00F870E4"/>
    <w:rsid w:val="00F96252"/>
    <w:rsid w:val="00F97705"/>
    <w:rsid w:val="00FA0DD1"/>
    <w:rsid w:val="00FA5D55"/>
    <w:rsid w:val="00FB02D5"/>
    <w:rsid w:val="00FB1A87"/>
    <w:rsid w:val="00FB59A1"/>
    <w:rsid w:val="00FB5B84"/>
    <w:rsid w:val="00FB6546"/>
    <w:rsid w:val="00FD7026"/>
    <w:rsid w:val="00FE0435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FF59A-3294-4C5B-9954-24CED5A9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169"/>
  </w:style>
  <w:style w:type="paragraph" w:styleId="Titlu1">
    <w:name w:val="heading 1"/>
    <w:basedOn w:val="Normal"/>
    <w:link w:val="Titlu1Caracter"/>
    <w:uiPriority w:val="9"/>
    <w:qFormat/>
    <w:rsid w:val="00D84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E728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C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4403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59"/>
    <w:rsid w:val="00C0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semiHidden/>
    <w:unhideWhenUsed/>
    <w:rsid w:val="00D844FF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D84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riuleni.md/index.php?pag=page&amp;id=413&amp;l=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iuleni.md/index.php?pag=page&amp;id=412&amp;l=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B690-4792-4D9C-8714-94B0A229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6598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dfcriuleni</dc:creator>
  <cp:keywords/>
  <dc:description/>
  <cp:lastModifiedBy>Пользователь</cp:lastModifiedBy>
  <cp:revision>203</cp:revision>
  <cp:lastPrinted>2020-08-10T12:03:00Z</cp:lastPrinted>
  <dcterms:created xsi:type="dcterms:W3CDTF">2019-02-08T05:51:00Z</dcterms:created>
  <dcterms:modified xsi:type="dcterms:W3CDTF">2020-08-11T07:55:00Z</dcterms:modified>
</cp:coreProperties>
</file>