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CD" w:rsidRPr="00F90F53" w:rsidRDefault="0094057F" w:rsidP="00F90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90F53">
        <w:rPr>
          <w:rFonts w:ascii="Times New Roman" w:hAnsi="Times New Roman" w:cs="Times New Roman"/>
          <w:b/>
          <w:sz w:val="24"/>
          <w:szCs w:val="24"/>
          <w:lang w:val="ro-RO"/>
        </w:rPr>
        <w:t>Notă informativă</w:t>
      </w:r>
    </w:p>
    <w:p w:rsidR="00F90F53" w:rsidRDefault="00F90F53" w:rsidP="00F90F53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F90F53">
        <w:rPr>
          <w:rFonts w:ascii="Times New Roman" w:hAnsi="Times New Roman" w:cs="Times New Roman"/>
          <w:lang w:val="ro-RO"/>
        </w:rPr>
        <w:t>la proiectul de decizie cu privire la</w:t>
      </w:r>
      <w:r>
        <w:rPr>
          <w:rFonts w:ascii="Times New Roman" w:hAnsi="Times New Roman" w:cs="Times New Roman"/>
          <w:lang w:val="ro-RO"/>
        </w:rPr>
        <w:t xml:space="preserve"> </w:t>
      </w:r>
      <w:r w:rsidR="00D310A0" w:rsidRPr="00F90F53">
        <w:rPr>
          <w:rFonts w:ascii="Times New Roman" w:hAnsi="Times New Roman" w:cs="Times New Roman"/>
          <w:lang w:val="ro-RO"/>
        </w:rPr>
        <w:t>primirea</w:t>
      </w:r>
      <w:r w:rsidR="004059CD" w:rsidRPr="00F90F53">
        <w:rPr>
          <w:rFonts w:ascii="Times New Roman" w:hAnsi="Times New Roman" w:cs="Times New Roman"/>
          <w:lang w:val="ro-RO"/>
        </w:rPr>
        <w:t xml:space="preserve"> cu titlul</w:t>
      </w:r>
      <w:r w:rsidRPr="00F90F53">
        <w:rPr>
          <w:rFonts w:ascii="Times New Roman" w:hAnsi="Times New Roman" w:cs="Times New Roman"/>
          <w:lang w:val="ro-RO"/>
        </w:rPr>
        <w:t xml:space="preserve"> gratuit</w:t>
      </w:r>
      <w:r w:rsidR="004059CD" w:rsidRPr="00F90F53">
        <w:rPr>
          <w:rFonts w:ascii="Times New Roman" w:hAnsi="Times New Roman" w:cs="Times New Roman"/>
          <w:lang w:val="ro-RO"/>
        </w:rPr>
        <w:t xml:space="preserve"> </w:t>
      </w:r>
    </w:p>
    <w:p w:rsidR="00F90F53" w:rsidRPr="00F90F53" w:rsidRDefault="004059CD" w:rsidP="00F90F53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F90F53">
        <w:rPr>
          <w:rFonts w:ascii="Times New Roman" w:hAnsi="Times New Roman" w:cs="Times New Roman"/>
          <w:lang w:val="ro-RO"/>
        </w:rPr>
        <w:t>a bunurilor materiale</w:t>
      </w:r>
      <w:r w:rsidR="00F90F53">
        <w:rPr>
          <w:rFonts w:ascii="Times New Roman" w:hAnsi="Times New Roman" w:cs="Times New Roman"/>
          <w:lang w:val="ro-RO"/>
        </w:rPr>
        <w:t xml:space="preserve"> </w:t>
      </w:r>
      <w:r w:rsidR="00F90F53" w:rsidRPr="00F90F53">
        <w:rPr>
          <w:rFonts w:ascii="Times New Roman" w:hAnsi="Times New Roman" w:cs="Times New Roman"/>
          <w:lang w:val="ro-RO"/>
        </w:rPr>
        <w:t>din partea Consiliului local Hrușova</w:t>
      </w:r>
    </w:p>
    <w:p w:rsidR="0094057F" w:rsidRPr="00F90F53" w:rsidRDefault="0094057F" w:rsidP="00F90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elgril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94057F" w:rsidRPr="00F90F53" w:rsidTr="000C0E69">
        <w:trPr>
          <w:trHeight w:val="208"/>
        </w:trPr>
        <w:tc>
          <w:tcPr>
            <w:tcW w:w="9805" w:type="dxa"/>
          </w:tcPr>
          <w:p w:rsidR="0094057F" w:rsidRPr="00F90F53" w:rsidRDefault="0012169D" w:rsidP="00F90F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0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94057F" w:rsidRPr="00F90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Denumirea autorului și, după caz, a participanților la elaborarea proiectului</w:t>
            </w:r>
          </w:p>
        </w:tc>
      </w:tr>
      <w:tr w:rsidR="0094057F" w:rsidRPr="00F90F53" w:rsidTr="00C446E6">
        <w:trPr>
          <w:trHeight w:val="340"/>
        </w:trPr>
        <w:tc>
          <w:tcPr>
            <w:tcW w:w="9805" w:type="dxa"/>
          </w:tcPr>
          <w:p w:rsidR="0094057F" w:rsidRPr="00F90F53" w:rsidRDefault="004059CD" w:rsidP="00F90F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Frunza Vasile</w:t>
            </w:r>
            <w:r w:rsidR="00F90F53"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</w:t>
            </w:r>
            <w:r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specia</w:t>
            </w:r>
            <w:r w:rsidR="00294412"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list principal, </w:t>
            </w:r>
            <w:r w:rsidR="00F90F53"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</w:t>
            </w:r>
            <w:r w:rsidR="00294412"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ecția economie</w:t>
            </w:r>
            <w:r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 investiții și relații externe</w:t>
            </w:r>
            <w:r w:rsidRPr="00F90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</w:tc>
      </w:tr>
      <w:tr w:rsidR="0094057F" w:rsidRPr="00F90F53" w:rsidTr="00C446E6">
        <w:trPr>
          <w:trHeight w:val="281"/>
        </w:trPr>
        <w:tc>
          <w:tcPr>
            <w:tcW w:w="9805" w:type="dxa"/>
          </w:tcPr>
          <w:p w:rsidR="0094057F" w:rsidRPr="00F90F53" w:rsidRDefault="0012169D" w:rsidP="00F90F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0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Condițiile c</w:t>
            </w:r>
            <w:r w:rsidR="00AF00C6" w:rsidRPr="00F90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</w:t>
            </w:r>
            <w:r w:rsidR="0094057F" w:rsidRPr="00F90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 impus elaborarea proiectului de act normativ și finanțările urmărite</w:t>
            </w:r>
          </w:p>
        </w:tc>
      </w:tr>
      <w:tr w:rsidR="0094057F" w:rsidRPr="00F90F53" w:rsidTr="00C446E6">
        <w:trPr>
          <w:trHeight w:val="326"/>
        </w:trPr>
        <w:tc>
          <w:tcPr>
            <w:tcW w:w="9805" w:type="dxa"/>
          </w:tcPr>
          <w:p w:rsidR="0094057F" w:rsidRPr="00F90F53" w:rsidRDefault="004059CD" w:rsidP="00F90F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Procesul verbal al grupului de lucru privind</w:t>
            </w:r>
            <w:r w:rsidR="00F627A7"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examinarea situației proiectului transfrontalier </w:t>
            </w:r>
            <w:r w:rsidR="00F90F53" w:rsidRPr="00F90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„Cross</w:t>
            </w:r>
            <w:r w:rsidR="00F90F53" w:rsidRPr="00F90F5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-</w:t>
            </w:r>
            <w:proofErr w:type="spellStart"/>
            <w:r w:rsidR="00F90F53" w:rsidRPr="00F90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Border</w:t>
            </w:r>
            <w:proofErr w:type="spellEnd"/>
            <w:r w:rsidR="00F90F53" w:rsidRPr="00F90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="00F90F53" w:rsidRPr="00F90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Waste</w:t>
            </w:r>
            <w:proofErr w:type="spellEnd"/>
            <w:r w:rsidR="00F90F53" w:rsidRPr="00F90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 xml:space="preserve"> Management </w:t>
            </w:r>
            <w:proofErr w:type="spellStart"/>
            <w:r w:rsidR="00F90F53" w:rsidRPr="00F90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tool</w:t>
            </w:r>
            <w:proofErr w:type="spellEnd"/>
            <w:r w:rsidR="00F90F53" w:rsidRPr="00F90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 xml:space="preserve"> for rural </w:t>
            </w:r>
            <w:proofErr w:type="spellStart"/>
            <w:r w:rsidR="00F90F53" w:rsidRPr="00F90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localities</w:t>
            </w:r>
            <w:proofErr w:type="spellEnd"/>
            <w:r w:rsidR="00F90F53" w:rsidRPr="00F90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="00F90F53" w:rsidRPr="00F90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CBCRurWaste</w:t>
            </w:r>
            <w:proofErr w:type="spellEnd"/>
            <w:r w:rsidR="00F90F53" w:rsidRPr="00F90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”</w:t>
            </w:r>
            <w:r w:rsidR="00F90F53" w:rsidRPr="00F90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,</w:t>
            </w:r>
            <w:r w:rsidR="00F90F53" w:rsidRPr="00F90F5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d</w:t>
            </w:r>
            <w:r w:rsidR="00961EAF"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ecizia nr. </w:t>
            </w:r>
            <w:r w:rsidR="00F627A7"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___ din___________ 2020 a </w:t>
            </w:r>
            <w:r w:rsidR="00F90F53"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</w:t>
            </w:r>
            <w:r w:rsidR="00F627A7"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onsiliului local Hrușova. Actul de constatare a bunurilor materiale din 23.07.2020</w:t>
            </w:r>
            <w:r w:rsidR="00F90F53"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 c</w:t>
            </w:r>
            <w:r w:rsidR="00F627A7"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u respectarea</w:t>
            </w:r>
            <w:r w:rsidR="00F90F53" w:rsidRPr="00F90F5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="00F90F53" w:rsidRPr="00F90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Hotărâr</w:t>
            </w:r>
            <w:r w:rsidR="00F90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ii</w:t>
            </w:r>
            <w:r w:rsidR="00F90F53" w:rsidRPr="00F90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 xml:space="preserve"> Guvernului nr. 901/2016</w:t>
            </w:r>
            <w:r w:rsidR="00F90F53" w:rsidRPr="00F90F5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o-RO" w:eastAsia="ro-RO"/>
              </w:rPr>
              <w:t xml:space="preserve"> pentru aprobarea Regulamentului cu privire la modul de transmitere a bunurilor proprietate publică</w:t>
            </w:r>
            <w:r w:rsidR="00961EAF"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. Bunurile ma</w:t>
            </w:r>
            <w:r w:rsidR="00F90F53"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t</w:t>
            </w:r>
            <w:r w:rsidR="00961EAF"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eriale au fost procurate în cadrul</w:t>
            </w:r>
            <w:r w:rsid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961EAF"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proiectului de către Consiliul raional Criuleni care ulterior au fost transmise din 11.09.2019, Consiliului local Hrușova și depozitate pe teritoriul comunei Hrușova</w:t>
            </w:r>
            <w:r w:rsid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961EAF"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și nu au fost utilizate cu excepția a 700 de euro tomberoane. În contextul celor expuse se propune ca materialele</w:t>
            </w:r>
            <w:r w:rsidR="005B181A"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și bunurile</w:t>
            </w:r>
            <w:r w:rsidR="00961EAF"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să fie transmise Consiliului raional Criuleni. Pentru a exclude </w:t>
            </w:r>
            <w:r w:rsidR="005B181A"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uzura</w:t>
            </w:r>
            <w:r w:rsidR="00961EAF"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bunurilor</w:t>
            </w:r>
            <w:r w:rsidR="005B181A"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F90F53"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fără</w:t>
            </w:r>
            <w:r w:rsidR="005B181A"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randament ele vor fi transmise ÎM </w:t>
            </w:r>
            <w:r w:rsid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„</w:t>
            </w:r>
            <w:r w:rsidR="00F90F53"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Edilitate</w:t>
            </w:r>
            <w:r w:rsid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-Criuleni”</w:t>
            </w:r>
            <w:r w:rsidR="005B181A"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în folosință.</w:t>
            </w:r>
          </w:p>
        </w:tc>
      </w:tr>
      <w:tr w:rsidR="0094057F" w:rsidRPr="00F90F53" w:rsidTr="00C446E6">
        <w:trPr>
          <w:trHeight w:val="577"/>
        </w:trPr>
        <w:tc>
          <w:tcPr>
            <w:tcW w:w="9805" w:type="dxa"/>
          </w:tcPr>
          <w:p w:rsidR="0094057F" w:rsidRPr="00F90F53" w:rsidRDefault="0012169D" w:rsidP="00F90F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0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Descrierea gradului de compatibilitate pentru proiectele care au ca scop armonizarea legislației naționale cu legislația Uniunii Europene</w:t>
            </w:r>
          </w:p>
        </w:tc>
      </w:tr>
      <w:tr w:rsidR="00330DD7" w:rsidRPr="00F90F53" w:rsidTr="000C0E69">
        <w:trPr>
          <w:trHeight w:val="171"/>
        </w:trPr>
        <w:tc>
          <w:tcPr>
            <w:tcW w:w="9805" w:type="dxa"/>
          </w:tcPr>
          <w:p w:rsidR="00330DD7" w:rsidRPr="00F90F53" w:rsidRDefault="00F90F53" w:rsidP="00F90F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3564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Nu este aplicabil</w:t>
            </w:r>
          </w:p>
        </w:tc>
      </w:tr>
      <w:tr w:rsidR="0094057F" w:rsidRPr="00F90F53" w:rsidTr="00C446E6">
        <w:trPr>
          <w:trHeight w:val="281"/>
        </w:trPr>
        <w:tc>
          <w:tcPr>
            <w:tcW w:w="9805" w:type="dxa"/>
          </w:tcPr>
          <w:p w:rsidR="0012169D" w:rsidRPr="00F90F53" w:rsidRDefault="0012169D" w:rsidP="00F90F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0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Principalele prevederi ale proiectului și evidențierea elementelor noi</w:t>
            </w:r>
          </w:p>
        </w:tc>
      </w:tr>
      <w:tr w:rsidR="0094057F" w:rsidRPr="00F90F53" w:rsidTr="00C446E6">
        <w:trPr>
          <w:trHeight w:val="340"/>
        </w:trPr>
        <w:tc>
          <w:tcPr>
            <w:tcW w:w="9805" w:type="dxa"/>
          </w:tcPr>
          <w:p w:rsidR="0094057F" w:rsidRPr="00F90F53" w:rsidRDefault="00F90F53" w:rsidP="00F90F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3564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Nu este aplicabil</w:t>
            </w:r>
          </w:p>
        </w:tc>
      </w:tr>
      <w:tr w:rsidR="0094057F" w:rsidRPr="00F90F53" w:rsidTr="00C446E6">
        <w:trPr>
          <w:trHeight w:val="281"/>
        </w:trPr>
        <w:tc>
          <w:tcPr>
            <w:tcW w:w="9805" w:type="dxa"/>
          </w:tcPr>
          <w:p w:rsidR="0094057F" w:rsidRPr="00F90F53" w:rsidRDefault="00FA52A8" w:rsidP="00F90F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0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Fundamentarea </w:t>
            </w:r>
            <w:proofErr w:type="spellStart"/>
            <w:r w:rsidRPr="00F90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economico</w:t>
            </w:r>
            <w:proofErr w:type="spellEnd"/>
            <w:r w:rsidRPr="00F90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-financiară</w:t>
            </w:r>
          </w:p>
        </w:tc>
      </w:tr>
      <w:tr w:rsidR="0094057F" w:rsidRPr="00F90F53" w:rsidTr="00C446E6">
        <w:trPr>
          <w:trHeight w:val="281"/>
        </w:trPr>
        <w:tc>
          <w:tcPr>
            <w:tcW w:w="9805" w:type="dxa"/>
          </w:tcPr>
          <w:p w:rsidR="0094057F" w:rsidRPr="00F90F53" w:rsidRDefault="00F90F53" w:rsidP="00F90F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Cheltuieli</w:t>
            </w:r>
            <w:r w:rsidR="00330DD7"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suplimentare nu sunt prevăzute</w:t>
            </w:r>
            <w:r w:rsidR="00E80E37" w:rsidRPr="00F90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94057F" w:rsidRPr="00F90F53" w:rsidTr="00C446E6">
        <w:trPr>
          <w:trHeight w:val="281"/>
        </w:trPr>
        <w:tc>
          <w:tcPr>
            <w:tcW w:w="9805" w:type="dxa"/>
          </w:tcPr>
          <w:p w:rsidR="0094057F" w:rsidRPr="00F90F53" w:rsidRDefault="00FA52A8" w:rsidP="00F90F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0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 Modul de încorporare a actului din cadrul normativ în vigoare</w:t>
            </w:r>
          </w:p>
        </w:tc>
      </w:tr>
      <w:tr w:rsidR="0094057F" w:rsidRPr="00F90F53" w:rsidTr="00C446E6">
        <w:trPr>
          <w:trHeight w:val="340"/>
        </w:trPr>
        <w:tc>
          <w:tcPr>
            <w:tcW w:w="9805" w:type="dxa"/>
          </w:tcPr>
          <w:p w:rsidR="0094057F" w:rsidRPr="00F90F53" w:rsidRDefault="00961EAF" w:rsidP="00F90F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Procesul verbal al grupului de lucru privind examinarea situației proiectului transfrontalier ”</w:t>
            </w:r>
            <w:proofErr w:type="spellStart"/>
            <w:r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Gross</w:t>
            </w:r>
            <w:proofErr w:type="spellEnd"/>
            <w:r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– </w:t>
            </w:r>
            <w:proofErr w:type="spellStart"/>
            <w:r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Border</w:t>
            </w:r>
            <w:proofErr w:type="spellEnd"/>
            <w:r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Waste</w:t>
            </w:r>
            <w:proofErr w:type="spellEnd"/>
            <w:r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management </w:t>
            </w:r>
            <w:proofErr w:type="spellStart"/>
            <w:r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tool</w:t>
            </w:r>
            <w:proofErr w:type="spellEnd"/>
            <w:r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for rural </w:t>
            </w:r>
            <w:proofErr w:type="spellStart"/>
            <w:r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localites</w:t>
            </w:r>
            <w:proofErr w:type="spellEnd"/>
            <w:r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CBCBur</w:t>
            </w:r>
            <w:proofErr w:type="spellEnd"/>
            <w:r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Waste</w:t>
            </w:r>
            <w:proofErr w:type="spellEnd"/>
            <w:r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”. Decizia nr. ___ din___________ 2020 a consiliului local Hrușova. Actul de constatare a bunurilor materiale din 23.07.2020. Cu respectarea </w:t>
            </w:r>
            <w:r w:rsidR="00F90F53" w:rsidRPr="00F90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Hotărârii Guvernului nr. 901/2016</w:t>
            </w:r>
            <w:r w:rsidR="00F90F53" w:rsidRPr="00F90F5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o-RO" w:eastAsia="ro-RO"/>
              </w:rPr>
              <w:t xml:space="preserve"> pentru aprobarea Regulamentului cu privire la modul de transmitere a bunurilor proprietate publică</w:t>
            </w:r>
          </w:p>
        </w:tc>
      </w:tr>
      <w:tr w:rsidR="0094057F" w:rsidRPr="00F90F53" w:rsidTr="00C446E6">
        <w:trPr>
          <w:trHeight w:val="281"/>
        </w:trPr>
        <w:tc>
          <w:tcPr>
            <w:tcW w:w="9805" w:type="dxa"/>
          </w:tcPr>
          <w:p w:rsidR="00C446E6" w:rsidRPr="00F90F53" w:rsidRDefault="00FA52A8" w:rsidP="00F90F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0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 Avizarea și consultarea publică a proiectului</w:t>
            </w:r>
          </w:p>
        </w:tc>
      </w:tr>
      <w:tr w:rsidR="0094057F" w:rsidRPr="00F90F53" w:rsidTr="00C446E6">
        <w:trPr>
          <w:trHeight w:val="326"/>
        </w:trPr>
        <w:tc>
          <w:tcPr>
            <w:tcW w:w="9805" w:type="dxa"/>
          </w:tcPr>
          <w:p w:rsidR="0094057F" w:rsidRPr="00F90F53" w:rsidRDefault="00330DD7" w:rsidP="00F90F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În temeiul art. 32 din Legea nr. 100/2017 cu privire la actele normative, proiectul de dec</w:t>
            </w:r>
            <w:r w:rsidR="00E80E37"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izie a fost avizat de către secretarul Consiliului raional</w:t>
            </w:r>
            <w:r w:rsidR="003A67CF"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 Aparatul Președintelui</w:t>
            </w:r>
            <w:r w:rsidR="00294412"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3A67CF"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raionului Criuleni. În scopul respectării prevederilor Legii nr. 239/2008 cu privire la transparența în procesul decizional, proiectul deciziei este plasat pe pagina-web a Consiliului raional </w:t>
            </w:r>
            <w:r w:rsidR="003A67CF" w:rsidRPr="000C0E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o-RO"/>
              </w:rPr>
              <w:t>criuleni.md</w:t>
            </w:r>
            <w:r w:rsidR="003A67CF"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la directoriul Transparența decizională, secțiunea Consultări publice.</w:t>
            </w:r>
          </w:p>
        </w:tc>
      </w:tr>
      <w:tr w:rsidR="0094057F" w:rsidRPr="00F90F53" w:rsidTr="00C446E6">
        <w:trPr>
          <w:trHeight w:val="296"/>
        </w:trPr>
        <w:tc>
          <w:tcPr>
            <w:tcW w:w="9805" w:type="dxa"/>
          </w:tcPr>
          <w:p w:rsidR="0094057F" w:rsidRPr="00F90F53" w:rsidRDefault="00C446E6" w:rsidP="00F90F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0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 Constatările expertizei anticorupție</w:t>
            </w:r>
          </w:p>
        </w:tc>
      </w:tr>
      <w:tr w:rsidR="0094057F" w:rsidRPr="00F90F53" w:rsidTr="00C446E6">
        <w:trPr>
          <w:trHeight w:val="326"/>
        </w:trPr>
        <w:tc>
          <w:tcPr>
            <w:tcW w:w="9805" w:type="dxa"/>
          </w:tcPr>
          <w:p w:rsidR="0094057F" w:rsidRPr="00F90F53" w:rsidRDefault="00F90F53" w:rsidP="00F90F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3564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În temeiul art. 35 din Legea </w:t>
            </w:r>
            <w:r w:rsidRPr="003D35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RO"/>
              </w:rPr>
              <w:t>nr. 100/2017 cu privire la actele normative, art. 28 alin. 3 din Legea integrității nr. 82/2017,  proiectul de decizie</w:t>
            </w:r>
            <w:r w:rsidRPr="003D3564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 corespunde normelor juridice și exclude orice element ce ar favoriza corupția.</w:t>
            </w:r>
          </w:p>
        </w:tc>
      </w:tr>
      <w:tr w:rsidR="0094057F" w:rsidRPr="00F90F53" w:rsidTr="00C446E6">
        <w:trPr>
          <w:trHeight w:val="281"/>
        </w:trPr>
        <w:tc>
          <w:tcPr>
            <w:tcW w:w="9805" w:type="dxa"/>
          </w:tcPr>
          <w:p w:rsidR="00C446E6" w:rsidRPr="00F90F53" w:rsidRDefault="00C446E6" w:rsidP="00F90F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0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 Constatările expertizei de compatibilitate</w:t>
            </w:r>
          </w:p>
        </w:tc>
        <w:bookmarkStart w:id="0" w:name="_GoBack"/>
        <w:bookmarkEnd w:id="0"/>
      </w:tr>
      <w:tr w:rsidR="0094057F" w:rsidRPr="00F90F53" w:rsidTr="00C446E6">
        <w:trPr>
          <w:trHeight w:val="340"/>
        </w:trPr>
        <w:tc>
          <w:tcPr>
            <w:tcW w:w="9805" w:type="dxa"/>
          </w:tcPr>
          <w:p w:rsidR="0094057F" w:rsidRPr="00F90F53" w:rsidRDefault="00F90F53" w:rsidP="00F90F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3564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Nu este aplicabil.</w:t>
            </w:r>
          </w:p>
        </w:tc>
      </w:tr>
      <w:tr w:rsidR="0094057F" w:rsidRPr="00F90F53" w:rsidTr="00C446E6">
        <w:trPr>
          <w:trHeight w:val="281"/>
        </w:trPr>
        <w:tc>
          <w:tcPr>
            <w:tcW w:w="9805" w:type="dxa"/>
          </w:tcPr>
          <w:p w:rsidR="0094057F" w:rsidRPr="00F90F53" w:rsidRDefault="00C446E6" w:rsidP="00F90F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0F53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10. Constatările expertizei juridice</w:t>
            </w:r>
          </w:p>
        </w:tc>
      </w:tr>
      <w:tr w:rsidR="0094057F" w:rsidRPr="00F90F53" w:rsidTr="00C446E6">
        <w:trPr>
          <w:trHeight w:val="326"/>
        </w:trPr>
        <w:tc>
          <w:tcPr>
            <w:tcW w:w="9805" w:type="dxa"/>
          </w:tcPr>
          <w:p w:rsidR="0094057F" w:rsidRPr="00F90F53" w:rsidRDefault="00F90F53" w:rsidP="00F9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3564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În temeiul art. 35 din Legea </w:t>
            </w:r>
            <w:r w:rsidRPr="003D35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RO"/>
              </w:rPr>
              <w:t xml:space="preserve">nr. 100/2017 cu privire la actele normative, proiectul de decizie a fost supus expertizei juridice de către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</w:t>
            </w:r>
            <w:r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ecretarul Consiliului raional</w:t>
            </w:r>
            <w:r w:rsidRPr="003D35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RO"/>
              </w:rPr>
              <w:t>, structura și conținutul actului corespund normelor de tehnică legislativă și normelor legale indicate la pct. 2.</w:t>
            </w:r>
          </w:p>
        </w:tc>
      </w:tr>
      <w:tr w:rsidR="0094057F" w:rsidRPr="00F90F53" w:rsidTr="00C446E6">
        <w:trPr>
          <w:trHeight w:val="296"/>
        </w:trPr>
        <w:tc>
          <w:tcPr>
            <w:tcW w:w="9805" w:type="dxa"/>
          </w:tcPr>
          <w:p w:rsidR="0094057F" w:rsidRPr="00F90F53" w:rsidRDefault="00C446E6" w:rsidP="00F90F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0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 Constatările altor expertize</w:t>
            </w:r>
          </w:p>
        </w:tc>
      </w:tr>
      <w:tr w:rsidR="0094057F" w:rsidRPr="00F90F53" w:rsidTr="00C446E6">
        <w:trPr>
          <w:trHeight w:val="326"/>
        </w:trPr>
        <w:tc>
          <w:tcPr>
            <w:tcW w:w="9805" w:type="dxa"/>
          </w:tcPr>
          <w:p w:rsidR="0094057F" w:rsidRPr="00F90F53" w:rsidRDefault="003A67CF" w:rsidP="00F90F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90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Nu este aplicabil.</w:t>
            </w:r>
          </w:p>
        </w:tc>
      </w:tr>
    </w:tbl>
    <w:p w:rsidR="00F90F53" w:rsidRDefault="00F90F53" w:rsidP="00F90F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0C0E69" w:rsidRDefault="000C0E69" w:rsidP="00F90F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0C0E69" w:rsidRDefault="00F90F53" w:rsidP="00F90F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F90F5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Frunza Vasile, specialist principal, </w:t>
      </w:r>
    </w:p>
    <w:p w:rsidR="00A0165D" w:rsidRPr="00F90F53" w:rsidRDefault="00F90F53" w:rsidP="00F90F53">
      <w:pPr>
        <w:spacing w:after="0" w:line="240" w:lineRule="auto"/>
        <w:rPr>
          <w:b/>
          <w:sz w:val="28"/>
          <w:szCs w:val="28"/>
          <w:lang w:val="ro-RO"/>
        </w:rPr>
      </w:pPr>
      <w:r w:rsidRPr="00F90F53">
        <w:rPr>
          <w:rFonts w:ascii="Times New Roman" w:hAnsi="Times New Roman" w:cs="Times New Roman"/>
          <w:b/>
          <w:i/>
          <w:sz w:val="24"/>
          <w:szCs w:val="24"/>
          <w:lang w:val="ro-RO"/>
        </w:rPr>
        <w:t>Secția economie, investiții și relații externe</w:t>
      </w:r>
    </w:p>
    <w:sectPr w:rsidR="00A0165D" w:rsidRPr="00F90F53" w:rsidSect="00F90F53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26A73"/>
    <w:multiLevelType w:val="hybridMultilevel"/>
    <w:tmpl w:val="B474637E"/>
    <w:lvl w:ilvl="0" w:tplc="70DC23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17C65"/>
    <w:multiLevelType w:val="hybridMultilevel"/>
    <w:tmpl w:val="E66E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765C7"/>
    <w:multiLevelType w:val="hybridMultilevel"/>
    <w:tmpl w:val="5630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F161E"/>
    <w:multiLevelType w:val="hybridMultilevel"/>
    <w:tmpl w:val="E9B6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77"/>
    <w:rsid w:val="000C0E69"/>
    <w:rsid w:val="0012169D"/>
    <w:rsid w:val="00294412"/>
    <w:rsid w:val="00330DD7"/>
    <w:rsid w:val="003A67CF"/>
    <w:rsid w:val="004059CD"/>
    <w:rsid w:val="005B181A"/>
    <w:rsid w:val="00723B7B"/>
    <w:rsid w:val="0094057F"/>
    <w:rsid w:val="00961EAF"/>
    <w:rsid w:val="00A0165D"/>
    <w:rsid w:val="00A83DFF"/>
    <w:rsid w:val="00AF00C6"/>
    <w:rsid w:val="00B26EF4"/>
    <w:rsid w:val="00B87F33"/>
    <w:rsid w:val="00C446E6"/>
    <w:rsid w:val="00D310A0"/>
    <w:rsid w:val="00E80E37"/>
    <w:rsid w:val="00E90B77"/>
    <w:rsid w:val="00F627A7"/>
    <w:rsid w:val="00F73F9C"/>
    <w:rsid w:val="00F90F53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D7676-C772-4D0C-A56C-53219A89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4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94057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C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C0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12</cp:revision>
  <cp:lastPrinted>2020-08-10T06:22:00Z</cp:lastPrinted>
  <dcterms:created xsi:type="dcterms:W3CDTF">2020-08-06T06:53:00Z</dcterms:created>
  <dcterms:modified xsi:type="dcterms:W3CDTF">2020-08-10T06:22:00Z</dcterms:modified>
</cp:coreProperties>
</file>