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BF" w:rsidRPr="007940D9" w:rsidRDefault="008257BF" w:rsidP="00364264">
      <w:pPr>
        <w:pStyle w:val="Frspaiere"/>
        <w:jc w:val="right"/>
      </w:pPr>
      <w:r w:rsidRPr="007940D9">
        <w:t>Anexa 1</w:t>
      </w:r>
    </w:p>
    <w:p w:rsidR="008257BF" w:rsidRPr="007940D9" w:rsidRDefault="008257BF" w:rsidP="001554E7">
      <w:pPr>
        <w:tabs>
          <w:tab w:val="left" w:pos="426"/>
        </w:tabs>
        <w:jc w:val="right"/>
      </w:pPr>
      <w:r w:rsidRPr="007940D9">
        <w:t xml:space="preserve">la decizia Consiliului raional </w:t>
      </w:r>
    </w:p>
    <w:p w:rsidR="008257BF" w:rsidRPr="007940D9" w:rsidRDefault="008257BF" w:rsidP="001554E7">
      <w:pPr>
        <w:tabs>
          <w:tab w:val="left" w:pos="426"/>
        </w:tabs>
        <w:jc w:val="right"/>
      </w:pPr>
      <w:r w:rsidRPr="007940D9">
        <w:t>nr.____ din _________ 2020</w:t>
      </w:r>
    </w:p>
    <w:p w:rsidR="008257BF" w:rsidRPr="007940D9" w:rsidRDefault="008257BF" w:rsidP="001554E7">
      <w:pPr>
        <w:tabs>
          <w:tab w:val="left" w:pos="426"/>
        </w:tabs>
        <w:jc w:val="center"/>
        <w:rPr>
          <w:b/>
        </w:rPr>
      </w:pPr>
      <w:r w:rsidRPr="007940D9">
        <w:rPr>
          <w:b/>
        </w:rPr>
        <w:t>Raport</w:t>
      </w:r>
    </w:p>
    <w:p w:rsidR="008257BF" w:rsidRPr="007940D9" w:rsidRDefault="008257BF" w:rsidP="001554E7">
      <w:pPr>
        <w:tabs>
          <w:tab w:val="left" w:pos="426"/>
        </w:tabs>
        <w:jc w:val="center"/>
        <w:rPr>
          <w:b/>
        </w:rPr>
      </w:pPr>
      <w:r w:rsidRPr="007940D9">
        <w:rPr>
          <w:b/>
        </w:rPr>
        <w:t xml:space="preserve">privind executarea bugetului raional </w:t>
      </w:r>
      <w:r w:rsidR="008A681B" w:rsidRPr="007940D9">
        <w:rPr>
          <w:b/>
        </w:rPr>
        <w:t xml:space="preserve">Criuleni în perioada </w:t>
      </w:r>
      <w:r w:rsidR="00247509" w:rsidRPr="007940D9">
        <w:rPr>
          <w:b/>
        </w:rPr>
        <w:t>semestrului I al anului 2020</w:t>
      </w:r>
    </w:p>
    <w:p w:rsidR="008257BF" w:rsidRPr="007940D9" w:rsidRDefault="008257BF" w:rsidP="001554E7">
      <w:pPr>
        <w:tabs>
          <w:tab w:val="left" w:pos="426"/>
        </w:tabs>
        <w:jc w:val="center"/>
        <w:rPr>
          <w:b/>
          <w:i/>
        </w:rPr>
      </w:pPr>
    </w:p>
    <w:p w:rsidR="008257BF" w:rsidRPr="007940D9" w:rsidRDefault="008257BF" w:rsidP="001554E7">
      <w:pPr>
        <w:pStyle w:val="Titlu"/>
        <w:tabs>
          <w:tab w:val="left" w:pos="426"/>
        </w:tabs>
        <w:spacing w:after="0" w:line="240" w:lineRule="auto"/>
        <w:jc w:val="both"/>
        <w:rPr>
          <w:rFonts w:cs="Times New Roman"/>
          <w:color w:val="auto"/>
          <w:sz w:val="24"/>
          <w:szCs w:val="24"/>
          <w:lang w:val="ro-RO"/>
        </w:rPr>
      </w:pPr>
      <w:r w:rsidRPr="007940D9">
        <w:rPr>
          <w:rFonts w:cs="Times New Roman"/>
          <w:color w:val="auto"/>
          <w:sz w:val="24"/>
          <w:szCs w:val="24"/>
          <w:lang w:val="ro-RO"/>
        </w:rPr>
        <w:tab/>
      </w:r>
      <w:r w:rsidR="00247509" w:rsidRPr="007940D9">
        <w:rPr>
          <w:rFonts w:cs="Times New Roman"/>
          <w:color w:val="auto"/>
          <w:sz w:val="24"/>
          <w:szCs w:val="24"/>
          <w:lang w:val="ro-RO"/>
        </w:rPr>
        <w:t>A</w:t>
      </w:r>
      <w:r w:rsidRPr="007940D9">
        <w:rPr>
          <w:rFonts w:cs="Times New Roman"/>
          <w:color w:val="auto"/>
          <w:sz w:val="24"/>
          <w:szCs w:val="24"/>
          <w:lang w:val="ro-RO"/>
        </w:rPr>
        <w:t xml:space="preserve">ctivitatea economico-financiară a autorităţilor publice raionale </w:t>
      </w:r>
      <w:r w:rsidR="00247509" w:rsidRPr="007940D9">
        <w:rPr>
          <w:rFonts w:cs="Times New Roman"/>
          <w:color w:val="auto"/>
          <w:sz w:val="24"/>
          <w:szCs w:val="24"/>
          <w:lang w:val="ro-RO"/>
        </w:rPr>
        <w:t>este</w:t>
      </w:r>
      <w:r w:rsidRPr="007940D9">
        <w:rPr>
          <w:rFonts w:cs="Times New Roman"/>
          <w:color w:val="auto"/>
          <w:sz w:val="24"/>
          <w:szCs w:val="24"/>
          <w:lang w:val="ro-RO"/>
        </w:rPr>
        <w:t xml:space="preserve"> </w:t>
      </w:r>
      <w:r w:rsidR="00247509" w:rsidRPr="007940D9">
        <w:rPr>
          <w:rFonts w:cs="Times New Roman"/>
          <w:color w:val="auto"/>
          <w:sz w:val="24"/>
          <w:szCs w:val="24"/>
          <w:lang w:val="ro-RO"/>
        </w:rPr>
        <w:t>orientată</w:t>
      </w:r>
      <w:r w:rsidRPr="007940D9">
        <w:rPr>
          <w:rFonts w:cs="Times New Roman"/>
          <w:color w:val="auto"/>
          <w:sz w:val="24"/>
          <w:szCs w:val="24"/>
          <w:lang w:val="ro-RO"/>
        </w:rPr>
        <w:t xml:space="preserve"> spre asigurarea </w:t>
      </w:r>
      <w:r w:rsidR="001554E7" w:rsidRPr="007940D9">
        <w:rPr>
          <w:rFonts w:cs="Times New Roman"/>
          <w:color w:val="auto"/>
          <w:sz w:val="24"/>
          <w:szCs w:val="24"/>
          <w:lang w:val="ro-RO"/>
        </w:rPr>
        <w:t>disciplinei</w:t>
      </w:r>
      <w:r w:rsidRPr="007940D9">
        <w:rPr>
          <w:rFonts w:cs="Times New Roman"/>
          <w:color w:val="auto"/>
          <w:sz w:val="24"/>
          <w:szCs w:val="24"/>
          <w:lang w:val="ro-RO"/>
        </w:rPr>
        <w:t xml:space="preserve"> bugetar-fiscale, respectarea metodologiei privind elaborarea, aprobarea, modificarea şi gestionarea alocațiilor bugetului raional bazat pe programe în corespundere cu Setul me</w:t>
      </w:r>
      <w:r w:rsidR="001554E7" w:rsidRPr="007940D9">
        <w:rPr>
          <w:rFonts w:cs="Times New Roman"/>
          <w:color w:val="auto"/>
          <w:sz w:val="24"/>
          <w:szCs w:val="24"/>
          <w:lang w:val="ro-RO"/>
        </w:rPr>
        <w:t>todologic aprobat prin Ordinul M</w:t>
      </w:r>
      <w:r w:rsidRPr="007940D9">
        <w:rPr>
          <w:rFonts w:cs="Times New Roman"/>
          <w:color w:val="auto"/>
          <w:sz w:val="24"/>
          <w:szCs w:val="24"/>
          <w:lang w:val="ro-RO"/>
        </w:rPr>
        <w:t>inist</w:t>
      </w:r>
      <w:r w:rsidR="001554E7" w:rsidRPr="007940D9">
        <w:rPr>
          <w:rFonts w:cs="Times New Roman"/>
          <w:color w:val="auto"/>
          <w:sz w:val="24"/>
          <w:szCs w:val="24"/>
          <w:lang w:val="ro-RO"/>
        </w:rPr>
        <w:t>e</w:t>
      </w:r>
      <w:r w:rsidRPr="007940D9">
        <w:rPr>
          <w:rFonts w:cs="Times New Roman"/>
          <w:color w:val="auto"/>
          <w:sz w:val="24"/>
          <w:szCs w:val="24"/>
          <w:lang w:val="ro-RO"/>
        </w:rPr>
        <w:t xml:space="preserve">rului </w:t>
      </w:r>
      <w:r w:rsidR="001554E7" w:rsidRPr="007940D9">
        <w:rPr>
          <w:rFonts w:cs="Times New Roman"/>
          <w:color w:val="auto"/>
          <w:sz w:val="24"/>
          <w:szCs w:val="24"/>
          <w:lang w:val="ro-RO"/>
        </w:rPr>
        <w:t>F</w:t>
      </w:r>
      <w:r w:rsidRPr="007940D9">
        <w:rPr>
          <w:rFonts w:cs="Times New Roman"/>
          <w:color w:val="auto"/>
          <w:sz w:val="24"/>
          <w:szCs w:val="24"/>
          <w:lang w:val="ro-RO"/>
        </w:rPr>
        <w:t>inanțelor nr. 209</w:t>
      </w:r>
      <w:r w:rsidR="001554E7" w:rsidRPr="007940D9">
        <w:rPr>
          <w:rFonts w:cs="Times New Roman"/>
          <w:color w:val="auto"/>
          <w:sz w:val="24"/>
          <w:szCs w:val="24"/>
          <w:lang w:val="ro-RO"/>
        </w:rPr>
        <w:t>/</w:t>
      </w:r>
      <w:r w:rsidRPr="007940D9">
        <w:rPr>
          <w:rFonts w:cs="Times New Roman"/>
          <w:color w:val="auto"/>
          <w:sz w:val="24"/>
          <w:szCs w:val="24"/>
          <w:lang w:val="ro-RO"/>
        </w:rPr>
        <w:t>2015, realizarea planurilor activităților de bază ale secţiilor, direcţiilor și instituțiilor bugetare din subordinea Consiliului raional în conformitate cu prevederile Legii nr. 397/2003 privind finanţele publice locale, Legii nr.181/2014 privind finanțele publice şi responsabilității bugetar-fiscale, Legii nr. 172/2019 a bugetului de stat pe anul 2020</w:t>
      </w:r>
      <w:r w:rsidR="00247509" w:rsidRPr="007940D9">
        <w:rPr>
          <w:rFonts w:cs="Times New Roman"/>
          <w:color w:val="auto"/>
          <w:sz w:val="24"/>
          <w:szCs w:val="24"/>
          <w:lang w:val="ro-RO"/>
        </w:rPr>
        <w:t>, precum</w:t>
      </w:r>
      <w:r w:rsidRPr="007940D9">
        <w:rPr>
          <w:rFonts w:cs="Times New Roman"/>
          <w:color w:val="auto"/>
          <w:sz w:val="24"/>
          <w:szCs w:val="24"/>
          <w:lang w:val="ro-RO"/>
        </w:rPr>
        <w:t xml:space="preserve"> şi ale Legii nr. 436/2006 privind administraţia publică locală. </w:t>
      </w:r>
    </w:p>
    <w:p w:rsidR="008257BF" w:rsidRPr="007940D9" w:rsidRDefault="008257BF" w:rsidP="001554E7">
      <w:pPr>
        <w:pStyle w:val="Titlu"/>
        <w:tabs>
          <w:tab w:val="left" w:pos="426"/>
        </w:tabs>
        <w:spacing w:after="0" w:line="240" w:lineRule="auto"/>
        <w:jc w:val="both"/>
        <w:rPr>
          <w:rFonts w:cs="Times New Roman"/>
          <w:color w:val="auto"/>
          <w:sz w:val="24"/>
          <w:szCs w:val="24"/>
          <w:lang w:val="ro-RO"/>
        </w:rPr>
      </w:pPr>
      <w:r w:rsidRPr="007940D9">
        <w:rPr>
          <w:rFonts w:cs="Times New Roman"/>
          <w:color w:val="auto"/>
          <w:sz w:val="24"/>
          <w:szCs w:val="24"/>
          <w:lang w:val="ro-RO"/>
        </w:rPr>
        <w:tab/>
        <w:t xml:space="preserve">În perioada </w:t>
      </w:r>
      <w:r w:rsidR="00247509" w:rsidRPr="007940D9">
        <w:rPr>
          <w:rFonts w:cs="Times New Roman"/>
          <w:color w:val="auto"/>
          <w:sz w:val="24"/>
          <w:szCs w:val="24"/>
          <w:lang w:val="ro-RO"/>
        </w:rPr>
        <w:t>de raportare</w:t>
      </w:r>
      <w:r w:rsidRPr="007940D9">
        <w:rPr>
          <w:rFonts w:cs="Times New Roman"/>
          <w:color w:val="auto"/>
          <w:sz w:val="24"/>
          <w:szCs w:val="24"/>
          <w:lang w:val="ro-RO"/>
        </w:rPr>
        <w:t xml:space="preserve"> la nivel de raion au fost </w:t>
      </w:r>
      <w:r w:rsidR="001554E7" w:rsidRPr="007940D9">
        <w:rPr>
          <w:rFonts w:cs="Times New Roman"/>
          <w:color w:val="auto"/>
          <w:sz w:val="24"/>
          <w:szCs w:val="24"/>
          <w:lang w:val="ro-RO"/>
        </w:rPr>
        <w:t>desfășurate</w:t>
      </w:r>
      <w:r w:rsidRPr="007940D9">
        <w:rPr>
          <w:rFonts w:cs="Times New Roman"/>
          <w:color w:val="auto"/>
          <w:sz w:val="24"/>
          <w:szCs w:val="24"/>
          <w:lang w:val="ro-RO"/>
        </w:rPr>
        <w:t xml:space="preserve"> </w:t>
      </w:r>
      <w:r w:rsidR="00247509" w:rsidRPr="007940D9">
        <w:rPr>
          <w:rFonts w:cs="Times New Roman"/>
          <w:color w:val="auto"/>
          <w:sz w:val="24"/>
          <w:szCs w:val="24"/>
          <w:lang w:val="ro-RO"/>
        </w:rPr>
        <w:t>unele</w:t>
      </w:r>
      <w:r w:rsidRPr="007940D9">
        <w:rPr>
          <w:rFonts w:cs="Times New Roman"/>
          <w:color w:val="auto"/>
          <w:sz w:val="24"/>
          <w:szCs w:val="24"/>
          <w:lang w:val="ro-RO"/>
        </w:rPr>
        <w:t xml:space="preserve"> </w:t>
      </w:r>
      <w:r w:rsidR="001554E7" w:rsidRPr="007940D9">
        <w:rPr>
          <w:rFonts w:cs="Times New Roman"/>
          <w:color w:val="auto"/>
          <w:sz w:val="24"/>
          <w:szCs w:val="24"/>
          <w:lang w:val="ro-RO"/>
        </w:rPr>
        <w:t>activități</w:t>
      </w:r>
      <w:r w:rsidR="00247509" w:rsidRPr="007940D9">
        <w:rPr>
          <w:rFonts w:cs="Times New Roman"/>
          <w:color w:val="auto"/>
          <w:sz w:val="24"/>
          <w:szCs w:val="24"/>
          <w:lang w:val="ro-RO"/>
        </w:rPr>
        <w:t xml:space="preserve">, desfășurate </w:t>
      </w:r>
      <w:r w:rsidR="001554E7" w:rsidRPr="007940D9">
        <w:rPr>
          <w:rFonts w:cs="Times New Roman"/>
          <w:color w:val="auto"/>
          <w:sz w:val="24"/>
          <w:szCs w:val="24"/>
          <w:lang w:val="ro-RO"/>
        </w:rPr>
        <w:t>ședințe</w:t>
      </w:r>
      <w:r w:rsidR="00247509" w:rsidRPr="007940D9">
        <w:rPr>
          <w:rFonts w:cs="Times New Roman"/>
          <w:color w:val="auto"/>
          <w:sz w:val="24"/>
          <w:szCs w:val="24"/>
          <w:lang w:val="ro-RO"/>
        </w:rPr>
        <w:t xml:space="preserve"> de lucru, privind modificările politicii bugetar-fiscale, exti</w:t>
      </w:r>
      <w:r w:rsidR="00B8780A" w:rsidRPr="007940D9">
        <w:rPr>
          <w:rFonts w:cs="Times New Roman"/>
          <w:color w:val="auto"/>
          <w:sz w:val="24"/>
          <w:szCs w:val="24"/>
          <w:lang w:val="ro-RO"/>
        </w:rPr>
        <w:t>nderea bazei fiscale impozabile</w:t>
      </w:r>
      <w:r w:rsidR="00247509" w:rsidRPr="007940D9">
        <w:rPr>
          <w:rFonts w:cs="Times New Roman"/>
          <w:color w:val="auto"/>
          <w:sz w:val="24"/>
          <w:szCs w:val="24"/>
          <w:lang w:val="ro-RO"/>
        </w:rPr>
        <w:t xml:space="preserve"> </w:t>
      </w:r>
      <w:r w:rsidRPr="007940D9">
        <w:rPr>
          <w:rFonts w:cs="Times New Roman"/>
          <w:color w:val="auto"/>
          <w:sz w:val="24"/>
          <w:szCs w:val="24"/>
          <w:lang w:val="ro-RO"/>
        </w:rPr>
        <w:t xml:space="preserve">în scopul asigurării încasărilor impozitelor și taxelor la buget, asigurării </w:t>
      </w:r>
      <w:r w:rsidR="001554E7" w:rsidRPr="007940D9">
        <w:rPr>
          <w:rFonts w:cs="Times New Roman"/>
          <w:color w:val="auto"/>
          <w:sz w:val="24"/>
          <w:szCs w:val="24"/>
          <w:lang w:val="ro-RO"/>
        </w:rPr>
        <w:t>disciplinei</w:t>
      </w:r>
      <w:r w:rsidRPr="007940D9">
        <w:rPr>
          <w:rFonts w:cs="Times New Roman"/>
          <w:color w:val="auto"/>
          <w:sz w:val="24"/>
          <w:szCs w:val="24"/>
          <w:lang w:val="ro-RO"/>
        </w:rPr>
        <w:t xml:space="preserve"> financiare, diminuării şi contracarării evaziunilor fiscale.</w:t>
      </w:r>
      <w:r w:rsidRPr="007940D9">
        <w:rPr>
          <w:rFonts w:cs="Times New Roman"/>
          <w:color w:val="auto"/>
          <w:sz w:val="24"/>
          <w:szCs w:val="24"/>
          <w:lang w:val="ro-RO"/>
        </w:rPr>
        <w:tab/>
      </w:r>
    </w:p>
    <w:p w:rsidR="008257BF" w:rsidRPr="007940D9" w:rsidRDefault="001554E7" w:rsidP="001554E7">
      <w:pPr>
        <w:tabs>
          <w:tab w:val="left" w:pos="426"/>
        </w:tabs>
        <w:jc w:val="both"/>
      </w:pPr>
      <w:r w:rsidRPr="007940D9">
        <w:tab/>
      </w:r>
      <w:r w:rsidR="008257BF" w:rsidRPr="007940D9">
        <w:t xml:space="preserve">În perioada </w:t>
      </w:r>
      <w:r w:rsidR="00433704" w:rsidRPr="007940D9">
        <w:t xml:space="preserve">semestrului I </w:t>
      </w:r>
      <w:r w:rsidRPr="007940D9">
        <w:t xml:space="preserve">anul </w:t>
      </w:r>
      <w:r w:rsidR="00433704" w:rsidRPr="007940D9">
        <w:t>2020</w:t>
      </w:r>
      <w:r w:rsidR="008257BF" w:rsidRPr="007940D9">
        <w:t xml:space="preserve"> autoritățile publice locale au întreprins măsuri eficiente în scopul atragerii investițiilor, identificării și utilizării surselor financiare în scopul îmbunătățirii infrastructurii localităților din raion. </w:t>
      </w:r>
      <w:r w:rsidR="00433704" w:rsidRPr="007940D9">
        <w:t>În perioada menționată, prin Legea nr.</w:t>
      </w:r>
      <w:r w:rsidRPr="007940D9">
        <w:t xml:space="preserve"> </w:t>
      </w:r>
      <w:r w:rsidR="00433704" w:rsidRPr="007940D9">
        <w:t>61/2020 privind modificarea Legii bugetului de stat pentru anul 2020</w:t>
      </w:r>
      <w:r w:rsidRPr="007940D9">
        <w:t>,</w:t>
      </w:r>
      <w:r w:rsidR="00433704" w:rsidRPr="007940D9">
        <w:t xml:space="preserve"> au </w:t>
      </w:r>
      <w:r w:rsidR="0006350B" w:rsidRPr="007940D9">
        <w:t xml:space="preserve">fost suplimentate alocațiile pentru autoritățile publice locale </w:t>
      </w:r>
      <w:r w:rsidR="00454543" w:rsidRPr="007940D9">
        <w:t xml:space="preserve">de ambele nivele pentru compensarea veniturilor ratate ale bugetelor locale, în special din impozitul pe veniturile persoanelor fizice. </w:t>
      </w:r>
      <w:r w:rsidR="008257BF" w:rsidRPr="007940D9">
        <w:t>Ca urmare</w:t>
      </w:r>
      <w:r w:rsidR="00454543" w:rsidRPr="007940D9">
        <w:t xml:space="preserve"> a celor expuse</w:t>
      </w:r>
      <w:r w:rsidR="008257BF" w:rsidRPr="007940D9">
        <w:t xml:space="preserve">, </w:t>
      </w:r>
      <w:r w:rsidR="008F1E1A" w:rsidRPr="007940D9">
        <w:t>bugetul raionului aprobat</w:t>
      </w:r>
      <w:r w:rsidRPr="007940D9">
        <w:t xml:space="preserve"> inițial a</w:t>
      </w:r>
      <w:r w:rsidR="001A5330" w:rsidRPr="007940D9">
        <w:t xml:space="preserve"> fost precizat</w:t>
      </w:r>
      <w:r w:rsidR="008257BF" w:rsidRPr="007940D9">
        <w:t xml:space="preserve"> prin majorarea părții de venituri cu </w:t>
      </w:r>
      <w:r w:rsidR="008F1E1A" w:rsidRPr="007940D9">
        <w:t>23582,7</w:t>
      </w:r>
      <w:r w:rsidR="008257BF" w:rsidRPr="007940D9">
        <w:t xml:space="preserve"> mii lei și la cheltuieli cu </w:t>
      </w:r>
      <w:r w:rsidR="001A5330" w:rsidRPr="007940D9">
        <w:t>18931,5</w:t>
      </w:r>
      <w:r w:rsidR="008257BF" w:rsidRPr="007940D9">
        <w:t xml:space="preserve"> mii lei. </w:t>
      </w:r>
    </w:p>
    <w:p w:rsidR="008257BF" w:rsidRPr="007940D9" w:rsidRDefault="001554E7" w:rsidP="001554E7">
      <w:pPr>
        <w:tabs>
          <w:tab w:val="left" w:pos="426"/>
        </w:tabs>
        <w:jc w:val="both"/>
      </w:pPr>
      <w:r w:rsidRPr="007940D9">
        <w:tab/>
      </w:r>
      <w:r w:rsidR="008257BF" w:rsidRPr="007940D9">
        <w:t>În contextul celor expuse, cea mai mare pondere revine veniturilor la capitolele:</w:t>
      </w:r>
    </w:p>
    <w:p w:rsidR="008257BF" w:rsidRPr="007940D9" w:rsidRDefault="008257BF" w:rsidP="001554E7">
      <w:pPr>
        <w:pStyle w:val="Listparagraf"/>
        <w:numPr>
          <w:ilvl w:val="0"/>
          <w:numId w:val="13"/>
        </w:numPr>
        <w:tabs>
          <w:tab w:val="left" w:pos="426"/>
        </w:tabs>
        <w:ind w:left="0" w:firstLine="0"/>
        <w:jc w:val="both"/>
      </w:pPr>
      <w:r w:rsidRPr="007940D9">
        <w:t xml:space="preserve">Transferuri primite între bugetul de stat și bugetele locale – indicatorii financiari au fost majorați cu </w:t>
      </w:r>
      <w:r w:rsidR="009A5543" w:rsidRPr="007940D9">
        <w:t>18931,5</w:t>
      </w:r>
      <w:r w:rsidRPr="007940D9">
        <w:t xml:space="preserve"> mii lei, din care:</w:t>
      </w:r>
    </w:p>
    <w:p w:rsidR="000D15B4" w:rsidRPr="007940D9" w:rsidRDefault="000D15B4" w:rsidP="001554E7">
      <w:pPr>
        <w:pStyle w:val="Listparagraf"/>
        <w:numPr>
          <w:ilvl w:val="3"/>
          <w:numId w:val="15"/>
        </w:numPr>
        <w:tabs>
          <w:tab w:val="left" w:pos="0"/>
          <w:tab w:val="left" w:pos="426"/>
        </w:tabs>
        <w:ind w:left="0" w:firstLine="0"/>
        <w:jc w:val="both"/>
      </w:pPr>
      <w:r w:rsidRPr="007940D9">
        <w:t xml:space="preserve">8663,8 mii lei - alocații suplimentare la </w:t>
      </w:r>
      <w:r w:rsidR="009417A2" w:rsidRPr="007940D9">
        <w:t>articolul</w:t>
      </w:r>
      <w:r w:rsidRPr="007940D9">
        <w:t xml:space="preserve"> </w:t>
      </w:r>
      <w:r w:rsidR="001554E7" w:rsidRPr="007940D9">
        <w:t>„</w:t>
      </w:r>
      <w:r w:rsidRPr="007940D9">
        <w:t xml:space="preserve">Transferuri primite între bugetul de stat și bugetele locale de nivelul </w:t>
      </w:r>
      <w:r w:rsidR="002E5C46" w:rsidRPr="007940D9">
        <w:t>1</w:t>
      </w:r>
      <w:r w:rsidRPr="007940D9">
        <w:t xml:space="preserve">” - </w:t>
      </w:r>
      <w:r w:rsidR="001554E7" w:rsidRPr="007940D9">
        <w:t>mijloace</w:t>
      </w:r>
      <w:r w:rsidRPr="007940D9">
        <w:t xml:space="preserve"> destinate pentru </w:t>
      </w:r>
      <w:r w:rsidR="00754278" w:rsidRPr="007940D9">
        <w:t xml:space="preserve">reparația </w:t>
      </w:r>
      <w:r w:rsidR="002E5C46" w:rsidRPr="007940D9">
        <w:t>capitală a obiectivelor de menire socială</w:t>
      </w:r>
      <w:r w:rsidR="00046D0E" w:rsidRPr="007940D9">
        <w:t xml:space="preserve"> (aprobate prin Legea bugetului de stat pentru anul 2020, precum și în cadrul Programului activităților de reintegrare a țării)</w:t>
      </w:r>
      <w:r w:rsidR="002E5C46" w:rsidRPr="007940D9">
        <w:t xml:space="preserve">, </w:t>
      </w:r>
      <w:r w:rsidRPr="007940D9">
        <w:t xml:space="preserve">compensarea veniturilor ratate </w:t>
      </w:r>
      <w:r w:rsidR="00046D0E" w:rsidRPr="007940D9">
        <w:t>la</w:t>
      </w:r>
      <w:r w:rsidRPr="007940D9">
        <w:t xml:space="preserve"> impozitul pe veniturile persoanelor fizice;</w:t>
      </w:r>
      <w:r w:rsidR="00754278" w:rsidRPr="007940D9">
        <w:t xml:space="preserve"> </w:t>
      </w:r>
    </w:p>
    <w:p w:rsidR="008257BF" w:rsidRPr="007940D9" w:rsidRDefault="002E5C46" w:rsidP="001554E7">
      <w:pPr>
        <w:pStyle w:val="Listparagraf"/>
        <w:numPr>
          <w:ilvl w:val="3"/>
          <w:numId w:val="15"/>
        </w:numPr>
        <w:tabs>
          <w:tab w:val="left" w:pos="0"/>
          <w:tab w:val="left" w:pos="426"/>
        </w:tabs>
        <w:ind w:left="0" w:firstLine="0"/>
        <w:jc w:val="both"/>
      </w:pPr>
      <w:r w:rsidRPr="007940D9">
        <w:t>654,6</w:t>
      </w:r>
      <w:r w:rsidR="008257BF" w:rsidRPr="007940D9">
        <w:t xml:space="preserve"> mii lei - alocații suplimentare la</w:t>
      </w:r>
      <w:r w:rsidR="009417A2" w:rsidRPr="007940D9">
        <w:t xml:space="preserve"> artic</w:t>
      </w:r>
      <w:r w:rsidR="001554E7" w:rsidRPr="007940D9">
        <w:t>olul „</w:t>
      </w:r>
      <w:r w:rsidR="008257BF" w:rsidRPr="007940D9">
        <w:t xml:space="preserve">Transferuri primite între bugetul de stat și bugetele locale de nivelul 2” - </w:t>
      </w:r>
      <w:r w:rsidR="001554E7" w:rsidRPr="007940D9">
        <w:t>mijloace</w:t>
      </w:r>
      <w:r w:rsidR="008257BF" w:rsidRPr="007940D9">
        <w:t xml:space="preserve"> destinate</w:t>
      </w:r>
      <w:r w:rsidR="00614A7F" w:rsidRPr="007940D9">
        <w:t xml:space="preserve"> pentru compensarea veniturilor ratate </w:t>
      </w:r>
      <w:r w:rsidR="00046D0E" w:rsidRPr="007940D9">
        <w:t xml:space="preserve">la </w:t>
      </w:r>
      <w:r w:rsidR="00614A7F" w:rsidRPr="007940D9">
        <w:t>impozitul pe veniturile persoanelor fizice</w:t>
      </w:r>
      <w:r w:rsidR="00995BF1" w:rsidRPr="007940D9">
        <w:t>, compensații persoanelor supuse represiunilor politice</w:t>
      </w:r>
      <w:r w:rsidR="008257BF" w:rsidRPr="007940D9">
        <w:t>;</w:t>
      </w:r>
    </w:p>
    <w:p w:rsidR="00777803" w:rsidRPr="007940D9" w:rsidRDefault="00777803" w:rsidP="001554E7">
      <w:pPr>
        <w:pStyle w:val="Listparagraf"/>
        <w:numPr>
          <w:ilvl w:val="3"/>
          <w:numId w:val="15"/>
        </w:numPr>
        <w:tabs>
          <w:tab w:val="left" w:pos="0"/>
          <w:tab w:val="left" w:pos="426"/>
        </w:tabs>
        <w:ind w:left="0" w:firstLine="0"/>
        <w:jc w:val="both"/>
      </w:pPr>
      <w:r w:rsidRPr="007940D9">
        <w:t xml:space="preserve">2818,0 mii lei - alocații suplimentare la </w:t>
      </w:r>
      <w:r w:rsidR="009417A2" w:rsidRPr="007940D9">
        <w:t>artico</w:t>
      </w:r>
      <w:r w:rsidR="001554E7" w:rsidRPr="007940D9">
        <w:t>lul „</w:t>
      </w:r>
      <w:r w:rsidRPr="007940D9">
        <w:t xml:space="preserve">Transferuri primite între instituțiile bugetului de stat și instituțiile bugetelor locale de nivelul 2” - </w:t>
      </w:r>
      <w:r w:rsidR="001554E7" w:rsidRPr="007940D9">
        <w:t>mijloace</w:t>
      </w:r>
      <w:r w:rsidRPr="007940D9">
        <w:t xml:space="preserve"> destinate pentru </w:t>
      </w:r>
      <w:r w:rsidR="001554E7" w:rsidRPr="007940D9">
        <w:t>grupa „</w:t>
      </w:r>
      <w:r w:rsidR="009417A2" w:rsidRPr="007940D9">
        <w:t>Protecție Socială”;</w:t>
      </w:r>
    </w:p>
    <w:p w:rsidR="009417A2" w:rsidRPr="007940D9" w:rsidRDefault="009417A2" w:rsidP="001554E7">
      <w:pPr>
        <w:pStyle w:val="Listparagraf"/>
        <w:numPr>
          <w:ilvl w:val="0"/>
          <w:numId w:val="15"/>
        </w:numPr>
        <w:tabs>
          <w:tab w:val="left" w:pos="426"/>
        </w:tabs>
        <w:ind w:left="0" w:firstLine="0"/>
        <w:jc w:val="both"/>
      </w:pPr>
      <w:r w:rsidRPr="007940D9">
        <w:t xml:space="preserve">4800,0 mii lei - alocații precizate la articolul </w:t>
      </w:r>
      <w:r w:rsidR="001554E7" w:rsidRPr="007940D9">
        <w:t>„</w:t>
      </w:r>
      <w:r w:rsidRPr="007940D9">
        <w:t xml:space="preserve">Transferuri primite între instituțiile bugetului de stat și instituțiile bugetelor locale de nivelul 1”, suma contractelor semnate de către autoritățile publice locale de nivelul I cu Fondul Ecologic Național pentru finanțarea proiectelor </w:t>
      </w:r>
      <w:r w:rsidR="00046D0E" w:rsidRPr="007940D9">
        <w:t xml:space="preserve">de construcție a instalațiilor </w:t>
      </w:r>
      <w:r w:rsidRPr="007940D9">
        <w:t>de aprovizionare cu apă-canalizare</w:t>
      </w:r>
      <w:r w:rsidR="00046D0E" w:rsidRPr="007940D9">
        <w:t>;</w:t>
      </w:r>
    </w:p>
    <w:p w:rsidR="009417A2" w:rsidRPr="007940D9" w:rsidRDefault="00046D0E" w:rsidP="001554E7">
      <w:pPr>
        <w:pStyle w:val="Listparagraf"/>
        <w:numPr>
          <w:ilvl w:val="3"/>
          <w:numId w:val="15"/>
        </w:numPr>
        <w:tabs>
          <w:tab w:val="left" w:pos="0"/>
          <w:tab w:val="left" w:pos="426"/>
        </w:tabs>
        <w:ind w:left="0" w:firstLine="0"/>
        <w:jc w:val="both"/>
      </w:pPr>
      <w:r w:rsidRPr="007940D9">
        <w:t xml:space="preserve">2156,8 mii lei - alocații </w:t>
      </w:r>
      <w:r w:rsidR="00A5632E" w:rsidRPr="007940D9">
        <w:t>precizate</w:t>
      </w:r>
      <w:r w:rsidRPr="007940D9">
        <w:t xml:space="preserve"> la articolul </w:t>
      </w:r>
      <w:r w:rsidR="001554E7" w:rsidRPr="007940D9">
        <w:t>„</w:t>
      </w:r>
      <w:r w:rsidRPr="007940D9">
        <w:t xml:space="preserve">Transferuri primite între bugetele locale de nivelul 2 </w:t>
      </w:r>
      <w:r w:rsidR="00A5632E" w:rsidRPr="007940D9">
        <w:t>și bugetele locale de nivelul 1 în cadrul unei unități administrativ-teritoriale”.</w:t>
      </w:r>
    </w:p>
    <w:p w:rsidR="008257BF" w:rsidRPr="007940D9" w:rsidRDefault="008257BF" w:rsidP="001554E7">
      <w:pPr>
        <w:tabs>
          <w:tab w:val="left" w:pos="426"/>
        </w:tabs>
        <w:jc w:val="both"/>
      </w:pPr>
      <w:r w:rsidRPr="007940D9">
        <w:tab/>
        <w:t xml:space="preserve">În </w:t>
      </w:r>
      <w:r w:rsidR="001554E7" w:rsidRPr="007940D9">
        <w:t>perioada</w:t>
      </w:r>
      <w:r w:rsidRPr="007940D9">
        <w:t xml:space="preserve"> de raportare bugetul consolidat al raionului la partea de venituri pe toate componentele a fost executat în sumă de </w:t>
      </w:r>
      <w:r w:rsidR="00A5632E" w:rsidRPr="007940D9">
        <w:t>183634,4</w:t>
      </w:r>
      <w:r w:rsidRPr="007940D9">
        <w:t xml:space="preserve"> mii lei, sau la nivel de </w:t>
      </w:r>
      <w:r w:rsidR="00A5632E" w:rsidRPr="007940D9">
        <w:t>45,5</w:t>
      </w:r>
      <w:r w:rsidRPr="007940D9">
        <w:t xml:space="preserve"> la sută faţă de volumul precizat. Totodată, indicii executați constituie </w:t>
      </w:r>
      <w:r w:rsidR="00A5632E" w:rsidRPr="007940D9">
        <w:t>106,5</w:t>
      </w:r>
      <w:r w:rsidRPr="007940D9">
        <w:t xml:space="preserve"> la sută comparativ cu cei realizați în perioada similară a anului 201</w:t>
      </w:r>
      <w:r w:rsidR="00A5632E" w:rsidRPr="007940D9">
        <w:t>9</w:t>
      </w:r>
      <w:r w:rsidRPr="007940D9">
        <w:t xml:space="preserve">, sau cu </w:t>
      </w:r>
      <w:r w:rsidR="00A5632E" w:rsidRPr="007940D9">
        <w:t>11164,6</w:t>
      </w:r>
      <w:r w:rsidRPr="007940D9">
        <w:t xml:space="preserve"> mii lei mai multe încasări </w:t>
      </w:r>
      <w:r w:rsidR="00A5632E" w:rsidRPr="007940D9">
        <w:t xml:space="preserve">și venituri </w:t>
      </w:r>
      <w:r w:rsidRPr="007940D9">
        <w:t>la bugetul raionului.</w:t>
      </w:r>
    </w:p>
    <w:p w:rsidR="008257BF" w:rsidRPr="007940D9" w:rsidRDefault="008257BF" w:rsidP="001554E7">
      <w:pPr>
        <w:tabs>
          <w:tab w:val="left" w:pos="426"/>
        </w:tabs>
        <w:jc w:val="both"/>
      </w:pPr>
      <w:r w:rsidRPr="007940D9">
        <w:tab/>
        <w:t xml:space="preserve">Din suma totală a veniturilor executate în perioada de raportare - </w:t>
      </w:r>
      <w:r w:rsidR="00A5632E" w:rsidRPr="007940D9">
        <w:t>35749,2</w:t>
      </w:r>
      <w:r w:rsidRPr="007940D9">
        <w:t xml:space="preserve"> mii lei constituie veniturile acumulate (impozite, taxe şi mijloace colectate), care au fost executate la nivel de </w:t>
      </w:r>
      <w:r w:rsidR="00A5632E" w:rsidRPr="007940D9">
        <w:t>52,0</w:t>
      </w:r>
      <w:r w:rsidRPr="007940D9">
        <w:t xml:space="preserve"> la sută în raport cu precizările anuale. Totodată, venitul realizat la compartimentul indicat s-a </w:t>
      </w:r>
      <w:r w:rsidR="00A5632E" w:rsidRPr="007940D9">
        <w:t xml:space="preserve">majorat </w:t>
      </w:r>
      <w:r w:rsidRPr="007940D9">
        <w:t xml:space="preserve">cu </w:t>
      </w:r>
      <w:r w:rsidR="00A5632E" w:rsidRPr="007940D9">
        <w:t>3675,5</w:t>
      </w:r>
      <w:r w:rsidRPr="007940D9">
        <w:t xml:space="preserve"> mii lei comparativ cu indicele obținut în anul 201</w:t>
      </w:r>
      <w:r w:rsidR="00A5632E" w:rsidRPr="007940D9">
        <w:t>9</w:t>
      </w:r>
      <w:r w:rsidRPr="007940D9">
        <w:t xml:space="preserve">. </w:t>
      </w:r>
    </w:p>
    <w:p w:rsidR="008257BF" w:rsidRPr="007940D9" w:rsidRDefault="008257BF" w:rsidP="001554E7">
      <w:pPr>
        <w:tabs>
          <w:tab w:val="left" w:pos="426"/>
        </w:tabs>
        <w:jc w:val="both"/>
      </w:pPr>
      <w:r w:rsidRPr="007940D9">
        <w:lastRenderedPageBreak/>
        <w:tab/>
        <w:t xml:space="preserve">La partea de cheltuieli bugetul consolidat al raionului a fost executat la nivel de </w:t>
      </w:r>
      <w:r w:rsidR="00A5632E" w:rsidRPr="007940D9">
        <w:t>38,0</w:t>
      </w:r>
      <w:r w:rsidRPr="007940D9">
        <w:t xml:space="preserve"> la sută din planul precizat de </w:t>
      </w:r>
      <w:r w:rsidR="00A5632E" w:rsidRPr="007940D9">
        <w:t>420429,9</w:t>
      </w:r>
      <w:r w:rsidRPr="007940D9">
        <w:t xml:space="preserve"> mii lei şi se cifrează la suma de </w:t>
      </w:r>
      <w:r w:rsidR="00A5632E" w:rsidRPr="007940D9">
        <w:t>159609,5</w:t>
      </w:r>
      <w:r w:rsidRPr="007940D9">
        <w:t xml:space="preserve"> mii lei. Totodată, indicele menționat constituie </w:t>
      </w:r>
      <w:r w:rsidR="0056109C" w:rsidRPr="007940D9">
        <w:t>91,0</w:t>
      </w:r>
      <w:r w:rsidRPr="007940D9">
        <w:t xml:space="preserve"> la sută în raport cu cel realizat în perioada similară a anului 201</w:t>
      </w:r>
      <w:r w:rsidR="00A5632E" w:rsidRPr="007940D9">
        <w:t>9</w:t>
      </w:r>
      <w:r w:rsidRPr="007940D9">
        <w:t xml:space="preserve">, sau mai </w:t>
      </w:r>
      <w:r w:rsidR="0056109C" w:rsidRPr="007940D9">
        <w:t>puțin</w:t>
      </w:r>
      <w:r w:rsidRPr="007940D9">
        <w:t xml:space="preserve"> cu </w:t>
      </w:r>
      <w:r w:rsidR="0056109C" w:rsidRPr="007940D9">
        <w:t>15779,8</w:t>
      </w:r>
      <w:r w:rsidRPr="007940D9">
        <w:t xml:space="preserve"> mii lei.</w:t>
      </w:r>
    </w:p>
    <w:p w:rsidR="008257BF" w:rsidRPr="007940D9" w:rsidRDefault="008257BF" w:rsidP="001554E7">
      <w:pPr>
        <w:tabs>
          <w:tab w:val="left" w:pos="426"/>
        </w:tabs>
        <w:jc w:val="both"/>
      </w:pPr>
      <w:r w:rsidRPr="007940D9">
        <w:tab/>
        <w:t xml:space="preserve">Ceia ce ține de </w:t>
      </w:r>
      <w:r w:rsidRPr="007940D9">
        <w:rPr>
          <w:b/>
        </w:rPr>
        <w:t>bugetul raional</w:t>
      </w:r>
      <w:r w:rsidRPr="007940D9">
        <w:t xml:space="preserve"> - în perioada de raportare la compartimentul „Venituri” acesta a fost executat la nivel de </w:t>
      </w:r>
      <w:r w:rsidR="00D54C19" w:rsidRPr="007940D9">
        <w:t>45,5</w:t>
      </w:r>
      <w:r w:rsidRPr="007940D9">
        <w:t xml:space="preserve"> la sută sau în sumă de </w:t>
      </w:r>
      <w:r w:rsidR="00D54C19" w:rsidRPr="007940D9">
        <w:t>94383,7</w:t>
      </w:r>
      <w:r w:rsidRPr="007940D9">
        <w:t xml:space="preserve"> mii lei din volumul anual precizat de </w:t>
      </w:r>
      <w:r w:rsidR="00D54C19" w:rsidRPr="007940D9">
        <w:t>207287,5 mii</w:t>
      </w:r>
      <w:r w:rsidRPr="007940D9">
        <w:t xml:space="preserve"> lei. Totodată, indicii executați constituie </w:t>
      </w:r>
      <w:r w:rsidR="00D54C19" w:rsidRPr="007940D9">
        <w:t>105,6</w:t>
      </w:r>
      <w:r w:rsidRPr="007940D9">
        <w:t xml:space="preserve"> la sută comparativ cu cei realizați în perioada anului 201</w:t>
      </w:r>
      <w:r w:rsidR="00D54C19" w:rsidRPr="007940D9">
        <w:t>9</w:t>
      </w:r>
      <w:r w:rsidRPr="007940D9">
        <w:t xml:space="preserve">, sau cu </w:t>
      </w:r>
      <w:r w:rsidR="00D54C19" w:rsidRPr="007940D9">
        <w:t>4864,0</w:t>
      </w:r>
      <w:r w:rsidRPr="007940D9">
        <w:t xml:space="preserve"> mii lei mai multe încasări la bugetul raional.</w:t>
      </w:r>
    </w:p>
    <w:p w:rsidR="008257BF" w:rsidRPr="007940D9" w:rsidRDefault="008257BF" w:rsidP="001554E7">
      <w:pPr>
        <w:tabs>
          <w:tab w:val="left" w:pos="426"/>
        </w:tabs>
        <w:jc w:val="both"/>
      </w:pPr>
      <w:r w:rsidRPr="007940D9">
        <w:tab/>
        <w:t xml:space="preserve">Din suma totală a veniturilor executate în perioada de raportare </w:t>
      </w:r>
      <w:r w:rsidR="00D54C19" w:rsidRPr="007940D9">
        <w:t>7107,4</w:t>
      </w:r>
      <w:r w:rsidRPr="007940D9">
        <w:t xml:space="preserve"> mii lei constituie veniturile acumulate (defalcările de la impozite, taxele şi veniturile  colectate), care au fost executate la nivel de </w:t>
      </w:r>
      <w:r w:rsidR="00D54C19" w:rsidRPr="007940D9">
        <w:t>48,1</w:t>
      </w:r>
      <w:r w:rsidRPr="007940D9">
        <w:t xml:space="preserve"> la sută în raport cu volumul precizat.</w:t>
      </w:r>
    </w:p>
    <w:p w:rsidR="008257BF" w:rsidRPr="007940D9" w:rsidRDefault="008257BF" w:rsidP="001554E7">
      <w:pPr>
        <w:tabs>
          <w:tab w:val="left" w:pos="426"/>
        </w:tabs>
        <w:jc w:val="both"/>
      </w:pPr>
      <w:r w:rsidRPr="007940D9">
        <w:tab/>
        <w:t>Ponderea cea mai mare în structura veniturilor proprii executate la bugetul raional revine la capitolele:</w:t>
      </w:r>
    </w:p>
    <w:p w:rsidR="00655F84" w:rsidRPr="007940D9" w:rsidRDefault="001554E7" w:rsidP="001554E7">
      <w:pPr>
        <w:numPr>
          <w:ilvl w:val="0"/>
          <w:numId w:val="1"/>
        </w:numPr>
        <w:tabs>
          <w:tab w:val="left" w:pos="426"/>
        </w:tabs>
        <w:ind w:left="0" w:firstLine="0"/>
        <w:jc w:val="both"/>
      </w:pPr>
      <w:r w:rsidRPr="007940D9">
        <w:t>„</w:t>
      </w:r>
      <w:r w:rsidR="00655F84" w:rsidRPr="007940D9">
        <w:t>Impozite și taxe pe mărfuri și servicii”, care include taxele pentru resursele naturale (taxa pentru apă, pentru extragerea mineralelor utile ș.a.) cu executare în sumă de 4962,9 mii lei, sau la nivel de 47,9 la sută din volumul anual precizat care se cifrează la 10368,8 mii lei;</w:t>
      </w:r>
    </w:p>
    <w:p w:rsidR="008257BF" w:rsidRPr="007940D9" w:rsidRDefault="001554E7" w:rsidP="001554E7">
      <w:pPr>
        <w:numPr>
          <w:ilvl w:val="0"/>
          <w:numId w:val="1"/>
        </w:numPr>
        <w:tabs>
          <w:tab w:val="left" w:pos="426"/>
        </w:tabs>
        <w:ind w:left="0" w:firstLine="0"/>
        <w:jc w:val="both"/>
      </w:pPr>
      <w:r w:rsidRPr="007940D9">
        <w:t>„</w:t>
      </w:r>
      <w:r w:rsidR="008257BF" w:rsidRPr="007940D9">
        <w:t xml:space="preserve">Impozite pe venit” cu suma executată de </w:t>
      </w:r>
      <w:r w:rsidR="00D54C19" w:rsidRPr="007940D9">
        <w:t>1634,8</w:t>
      </w:r>
      <w:r w:rsidR="008257BF" w:rsidRPr="007940D9">
        <w:t xml:space="preserve"> mii lei, sau la nivel de </w:t>
      </w:r>
      <w:r w:rsidR="00D54C19" w:rsidRPr="007940D9">
        <w:t>54,0</w:t>
      </w:r>
      <w:r w:rsidR="008257BF" w:rsidRPr="007940D9">
        <w:t xml:space="preserve"> la sută din volumul anual precizat și, totodată, la nivel de </w:t>
      </w:r>
      <w:r w:rsidR="00D54C19" w:rsidRPr="007940D9">
        <w:t>32,2</w:t>
      </w:r>
      <w:r w:rsidR="008257BF" w:rsidRPr="007940D9">
        <w:t xml:space="preserve"> la sută, </w:t>
      </w:r>
      <w:r w:rsidR="00D54C19" w:rsidRPr="007940D9">
        <w:t>adică s-a diminuat cu</w:t>
      </w:r>
      <w:r w:rsidR="008257BF" w:rsidRPr="007940D9">
        <w:t xml:space="preserve"> </w:t>
      </w:r>
      <w:r w:rsidR="00D54C19" w:rsidRPr="007940D9">
        <w:t>3445,2</w:t>
      </w:r>
      <w:r w:rsidR="008257BF" w:rsidRPr="007940D9">
        <w:t xml:space="preserve"> mii lei comparativ cu perioada anului 201</w:t>
      </w:r>
      <w:r w:rsidR="00D54C19" w:rsidRPr="007940D9">
        <w:t>9</w:t>
      </w:r>
      <w:r w:rsidR="008257BF" w:rsidRPr="007940D9">
        <w:t>;</w:t>
      </w:r>
    </w:p>
    <w:p w:rsidR="008257BF" w:rsidRPr="007940D9" w:rsidRDefault="001554E7" w:rsidP="001554E7">
      <w:pPr>
        <w:numPr>
          <w:ilvl w:val="0"/>
          <w:numId w:val="1"/>
        </w:numPr>
        <w:tabs>
          <w:tab w:val="left" w:pos="426"/>
        </w:tabs>
        <w:ind w:left="0" w:firstLine="0"/>
        <w:jc w:val="both"/>
      </w:pPr>
      <w:r w:rsidRPr="007940D9">
        <w:t>„</w:t>
      </w:r>
      <w:r w:rsidR="008257BF" w:rsidRPr="007940D9">
        <w:t>Venituri din vânzar</w:t>
      </w:r>
      <w:r w:rsidRPr="007940D9">
        <w:t>ea mărfurilor și serviciilor” (</w:t>
      </w:r>
      <w:r w:rsidR="008257BF" w:rsidRPr="007940D9">
        <w:t>plata pentru locațiune, plata părinților pentru alimentarea copi</w:t>
      </w:r>
      <w:r w:rsidRPr="007940D9">
        <w:t>ilor în instituțiile de învățămâ</w:t>
      </w:r>
      <w:r w:rsidR="008257BF" w:rsidRPr="007940D9">
        <w:t xml:space="preserve">nt ș.a.) cu suma executată de </w:t>
      </w:r>
      <w:r w:rsidR="00655F84" w:rsidRPr="007940D9">
        <w:t>478,0</w:t>
      </w:r>
      <w:r w:rsidR="008257BF" w:rsidRPr="007940D9">
        <w:t xml:space="preserve"> mii lei, sau la nivel de </w:t>
      </w:r>
      <w:r w:rsidR="00655F84" w:rsidRPr="007940D9">
        <w:t>35,0</w:t>
      </w:r>
      <w:r w:rsidR="008257BF" w:rsidRPr="007940D9">
        <w:t xml:space="preserve"> la sută din volumul anual precizat.</w:t>
      </w:r>
    </w:p>
    <w:p w:rsidR="008257BF" w:rsidRPr="007940D9" w:rsidRDefault="008257BF" w:rsidP="001554E7">
      <w:pPr>
        <w:tabs>
          <w:tab w:val="left" w:pos="426"/>
        </w:tabs>
        <w:jc w:val="both"/>
      </w:pPr>
      <w:r w:rsidRPr="007940D9">
        <w:tab/>
      </w:r>
      <w:r w:rsidR="00655F84" w:rsidRPr="007940D9">
        <w:t>Funcționalitatea instituțiilor din subordinea Consiliului raional este asigurată din contul transferurilor</w:t>
      </w:r>
      <w:r w:rsidRPr="007940D9">
        <w:t xml:space="preserve"> primite de la bugetul de stat către bugetul raional </w:t>
      </w:r>
      <w:r w:rsidR="00655F84" w:rsidRPr="007940D9">
        <w:t>cu volumul precizat în sumă de 192118,2 mii lei, fiind executate 87085,2 mii lei</w:t>
      </w:r>
      <w:r w:rsidRPr="007940D9">
        <w:t xml:space="preserve">, sau la nivel de </w:t>
      </w:r>
      <w:r w:rsidR="00655F84" w:rsidRPr="007940D9">
        <w:t>45,3</w:t>
      </w:r>
      <w:r w:rsidRPr="007940D9">
        <w:t xml:space="preserve"> la sută. Totodată, indicii executați constituie </w:t>
      </w:r>
      <w:r w:rsidR="00655F84" w:rsidRPr="007940D9">
        <w:t>108,3</w:t>
      </w:r>
      <w:r w:rsidRPr="007940D9">
        <w:t xml:space="preserve"> la sută, sau cu </w:t>
      </w:r>
      <w:r w:rsidR="00655F84" w:rsidRPr="007940D9">
        <w:t>6697,9</w:t>
      </w:r>
      <w:r w:rsidRPr="007940D9">
        <w:t xml:space="preserve"> mii lei mai mult comparativ cu cei realizați în perioada anului 201</w:t>
      </w:r>
      <w:r w:rsidR="00655F84" w:rsidRPr="007940D9">
        <w:t>9</w:t>
      </w:r>
      <w:r w:rsidRPr="007940D9">
        <w:t>.</w:t>
      </w:r>
    </w:p>
    <w:p w:rsidR="008257BF" w:rsidRPr="007940D9" w:rsidRDefault="008257BF" w:rsidP="001554E7">
      <w:pPr>
        <w:tabs>
          <w:tab w:val="left" w:pos="426"/>
        </w:tabs>
        <w:jc w:val="both"/>
      </w:pPr>
      <w:r w:rsidRPr="007940D9">
        <w:t xml:space="preserve"> </w:t>
      </w:r>
      <w:r w:rsidRPr="007940D9">
        <w:tab/>
        <w:t>Ponderea cea mai mare la capitolul dat revine la articolele:</w:t>
      </w:r>
    </w:p>
    <w:p w:rsidR="008257BF" w:rsidRPr="007940D9" w:rsidRDefault="008257BF" w:rsidP="001554E7">
      <w:pPr>
        <w:pStyle w:val="Listparagraf"/>
        <w:numPr>
          <w:ilvl w:val="0"/>
          <w:numId w:val="1"/>
        </w:numPr>
        <w:tabs>
          <w:tab w:val="left" w:pos="426"/>
        </w:tabs>
        <w:ind w:left="0" w:firstLine="0"/>
        <w:jc w:val="both"/>
      </w:pPr>
      <w:r w:rsidRPr="007940D9">
        <w:t xml:space="preserve">Transferurile cu </w:t>
      </w:r>
      <w:r w:rsidR="001554E7" w:rsidRPr="007940D9">
        <w:t>destinație</w:t>
      </w:r>
      <w:r w:rsidRPr="007940D9">
        <w:t xml:space="preserve"> specială pentru </w:t>
      </w:r>
      <w:r w:rsidR="001554E7" w:rsidRPr="007940D9">
        <w:t>învățământul</w:t>
      </w:r>
      <w:r w:rsidRPr="007940D9">
        <w:t xml:space="preserve"> primar, secundar general şi </w:t>
      </w:r>
      <w:r w:rsidR="001554E7" w:rsidRPr="007940D9">
        <w:t>extrașcolar</w:t>
      </w:r>
      <w:r w:rsidRPr="007940D9">
        <w:t xml:space="preserve">, care au fost </w:t>
      </w:r>
      <w:r w:rsidR="001554E7" w:rsidRPr="007940D9">
        <w:t>finanțate</w:t>
      </w:r>
      <w:r w:rsidRPr="007940D9">
        <w:t xml:space="preserve"> în sumă de </w:t>
      </w:r>
      <w:r w:rsidR="00655F84" w:rsidRPr="007940D9">
        <w:t>59198,5</w:t>
      </w:r>
      <w:r w:rsidRPr="007940D9">
        <w:t xml:space="preserve"> mii lei, sau la nivel de </w:t>
      </w:r>
      <w:r w:rsidR="00655F84" w:rsidRPr="007940D9">
        <w:t>46,3</w:t>
      </w:r>
      <w:r w:rsidRPr="007940D9">
        <w:t xml:space="preserve"> la sută;</w:t>
      </w:r>
    </w:p>
    <w:p w:rsidR="008D4BD5" w:rsidRPr="007940D9" w:rsidRDefault="008D4BD5" w:rsidP="001554E7">
      <w:pPr>
        <w:pStyle w:val="Listparagraf"/>
        <w:numPr>
          <w:ilvl w:val="0"/>
          <w:numId w:val="1"/>
        </w:numPr>
        <w:tabs>
          <w:tab w:val="left" w:pos="426"/>
        </w:tabs>
        <w:ind w:left="0" w:firstLine="0"/>
        <w:jc w:val="both"/>
      </w:pPr>
      <w:r w:rsidRPr="007940D9">
        <w:t xml:space="preserve">Transferurile curente primite cu </w:t>
      </w:r>
      <w:r w:rsidR="001554E7" w:rsidRPr="007940D9">
        <w:t>destinație</w:t>
      </w:r>
      <w:r w:rsidRPr="007940D9">
        <w:t xml:space="preserve"> generală, precum și transferurile primite din fondul de compensare au fost finanțate în sumă de </w:t>
      </w:r>
      <w:r w:rsidR="00C20CA6" w:rsidRPr="007940D9">
        <w:t>24294,5 mii lei, sau la nivel de 60,0 la sută;</w:t>
      </w:r>
    </w:p>
    <w:p w:rsidR="008257BF" w:rsidRPr="007940D9" w:rsidRDefault="008257BF" w:rsidP="001554E7">
      <w:pPr>
        <w:pStyle w:val="Listparagraf"/>
        <w:numPr>
          <w:ilvl w:val="0"/>
          <w:numId w:val="1"/>
        </w:numPr>
        <w:tabs>
          <w:tab w:val="left" w:pos="426"/>
        </w:tabs>
        <w:ind w:left="0" w:firstLine="0"/>
        <w:jc w:val="both"/>
      </w:pPr>
      <w:r w:rsidRPr="007940D9">
        <w:t xml:space="preserve">Transferurile cu </w:t>
      </w:r>
      <w:r w:rsidR="001554E7" w:rsidRPr="007940D9">
        <w:t>destinație</w:t>
      </w:r>
      <w:r w:rsidRPr="007940D9">
        <w:t xml:space="preserve"> specială pentru asigurarea şi </w:t>
      </w:r>
      <w:r w:rsidR="001554E7" w:rsidRPr="007940D9">
        <w:t>asistența</w:t>
      </w:r>
      <w:r w:rsidRPr="007940D9">
        <w:t xml:space="preserve"> socială - în sumă de </w:t>
      </w:r>
      <w:r w:rsidR="00C20CA6" w:rsidRPr="007940D9">
        <w:t>1753,0</w:t>
      </w:r>
      <w:r w:rsidRPr="007940D9">
        <w:t xml:space="preserve"> mii lei, </w:t>
      </w:r>
      <w:r w:rsidR="00C20CA6" w:rsidRPr="007940D9">
        <w:t>sau 34,6</w:t>
      </w:r>
      <w:r w:rsidRPr="007940D9">
        <w:t xml:space="preserve"> la sută din volumul anual precizat;</w:t>
      </w:r>
    </w:p>
    <w:p w:rsidR="008257BF" w:rsidRPr="007940D9" w:rsidRDefault="008257BF" w:rsidP="001554E7">
      <w:pPr>
        <w:pStyle w:val="Listparagraf"/>
        <w:numPr>
          <w:ilvl w:val="0"/>
          <w:numId w:val="1"/>
        </w:numPr>
        <w:tabs>
          <w:tab w:val="left" w:pos="426"/>
        </w:tabs>
        <w:ind w:left="0" w:firstLine="0"/>
        <w:jc w:val="both"/>
      </w:pPr>
      <w:r w:rsidRPr="007940D9">
        <w:t xml:space="preserve">Transferurile cu </w:t>
      </w:r>
      <w:r w:rsidR="001554E7" w:rsidRPr="007940D9">
        <w:t>destinație</w:t>
      </w:r>
      <w:r w:rsidRPr="007940D9">
        <w:t xml:space="preserve"> specială pentru infrastructura drumurilor</w:t>
      </w:r>
      <w:r w:rsidR="00C20CA6" w:rsidRPr="007940D9">
        <w:t>, din suma aprobată de 9667,9 mii lei au fost finanțate</w:t>
      </w:r>
      <w:r w:rsidRPr="007940D9">
        <w:t xml:space="preserve"> </w:t>
      </w:r>
      <w:r w:rsidR="00C20CA6" w:rsidRPr="007940D9">
        <w:t>64,1</w:t>
      </w:r>
      <w:r w:rsidRPr="007940D9">
        <w:t xml:space="preserve"> mii lei, sau la nivel de </w:t>
      </w:r>
      <w:r w:rsidR="00C20CA6" w:rsidRPr="007940D9">
        <w:t>0</w:t>
      </w:r>
      <w:r w:rsidRPr="007940D9">
        <w:t>,7 la sută;</w:t>
      </w:r>
    </w:p>
    <w:p w:rsidR="008257BF" w:rsidRPr="007940D9" w:rsidRDefault="008257BF" w:rsidP="001554E7">
      <w:pPr>
        <w:pStyle w:val="Listparagraf"/>
        <w:numPr>
          <w:ilvl w:val="0"/>
          <w:numId w:val="1"/>
        </w:numPr>
        <w:tabs>
          <w:tab w:val="left" w:pos="426"/>
        </w:tabs>
        <w:ind w:left="0" w:firstLine="0"/>
        <w:jc w:val="both"/>
      </w:pPr>
      <w:r w:rsidRPr="007940D9">
        <w:t xml:space="preserve">Transferurile cu </w:t>
      </w:r>
      <w:r w:rsidR="001554E7" w:rsidRPr="007940D9">
        <w:t>destinație</w:t>
      </w:r>
      <w:r w:rsidRPr="007940D9">
        <w:t xml:space="preserve"> specială pentru </w:t>
      </w:r>
      <w:r w:rsidR="001554E7" w:rsidRPr="007940D9">
        <w:t>Școala</w:t>
      </w:r>
      <w:r w:rsidRPr="007940D9">
        <w:t xml:space="preserve"> sportivă Criuleni au fost </w:t>
      </w:r>
      <w:r w:rsidR="001554E7" w:rsidRPr="007940D9">
        <w:t>finanțate</w:t>
      </w:r>
      <w:r w:rsidRPr="007940D9">
        <w:t xml:space="preserve"> în sumă de </w:t>
      </w:r>
      <w:r w:rsidR="00C20CA6" w:rsidRPr="007940D9">
        <w:t>1199,1</w:t>
      </w:r>
      <w:r w:rsidRPr="007940D9">
        <w:t xml:space="preserve"> mii lei, sau la nivel de </w:t>
      </w:r>
      <w:r w:rsidR="00C20CA6" w:rsidRPr="007940D9">
        <w:t>48,5</w:t>
      </w:r>
      <w:r w:rsidRPr="007940D9">
        <w:t xml:space="preserve"> la sută din volumul anual precizat;</w:t>
      </w:r>
    </w:p>
    <w:p w:rsidR="008257BF" w:rsidRPr="007940D9" w:rsidRDefault="008257BF" w:rsidP="001554E7">
      <w:pPr>
        <w:pStyle w:val="Listparagraf"/>
        <w:numPr>
          <w:ilvl w:val="0"/>
          <w:numId w:val="7"/>
        </w:numPr>
        <w:tabs>
          <w:tab w:val="left" w:pos="426"/>
          <w:tab w:val="left" w:pos="993"/>
        </w:tabs>
        <w:ind w:left="0" w:firstLine="0"/>
        <w:jc w:val="both"/>
      </w:pPr>
      <w:r w:rsidRPr="007940D9">
        <w:t xml:space="preserve">Transferurile capitale primite cu destinație specială între instituțiile bugetului de stat și instituțiile bugetului de nivelul 2, fiind precizate alocații în sumă de </w:t>
      </w:r>
      <w:r w:rsidR="00C20CA6" w:rsidRPr="007940D9">
        <w:t>1995,1</w:t>
      </w:r>
      <w:r w:rsidRPr="007940D9">
        <w:t xml:space="preserve"> mii lei în baza contractelor semnate de către administrația a patru instituții de </w:t>
      </w:r>
      <w:r w:rsidR="001554E7" w:rsidRPr="007940D9">
        <w:t>învățământ</w:t>
      </w:r>
      <w:r w:rsidRPr="007940D9">
        <w:t xml:space="preserve"> cu Agenția pentru Eficiență Energetică, privind finanțarea lucrărilor de termoizolare a clădirilor acestora. Deși lucrările au fost executate de către antreprenor, finanțarea </w:t>
      </w:r>
      <w:r w:rsidR="00C20CA6" w:rsidRPr="007940D9">
        <w:t>nu s-a executat integral</w:t>
      </w:r>
      <w:r w:rsidRPr="007940D9">
        <w:t>.</w:t>
      </w:r>
    </w:p>
    <w:p w:rsidR="008257BF" w:rsidRPr="007940D9" w:rsidRDefault="001554E7" w:rsidP="001554E7">
      <w:pPr>
        <w:tabs>
          <w:tab w:val="left" w:pos="426"/>
        </w:tabs>
        <w:jc w:val="both"/>
      </w:pPr>
      <w:r w:rsidRPr="007940D9">
        <w:tab/>
      </w:r>
      <w:r w:rsidR="008257BF" w:rsidRPr="007940D9">
        <w:t xml:space="preserve">Pentru anul 2019, la bugetul raional fiind </w:t>
      </w:r>
      <w:r w:rsidR="0055465E" w:rsidRPr="007940D9">
        <w:t>aprobate</w:t>
      </w:r>
      <w:r w:rsidR="008257BF" w:rsidRPr="007940D9">
        <w:t xml:space="preserve"> transferuri de la Fondul de </w:t>
      </w:r>
      <w:r w:rsidRPr="007940D9">
        <w:t>Susținere</w:t>
      </w:r>
      <w:r w:rsidR="008257BF" w:rsidRPr="007940D9">
        <w:t xml:space="preserve"> Socială a </w:t>
      </w:r>
      <w:r w:rsidRPr="007940D9">
        <w:t>Populației</w:t>
      </w:r>
      <w:r w:rsidR="008257BF" w:rsidRPr="007940D9">
        <w:t xml:space="preserve"> în sumă de </w:t>
      </w:r>
      <w:r w:rsidR="00C20CA6" w:rsidRPr="007940D9">
        <w:t>1340,7</w:t>
      </w:r>
      <w:r w:rsidR="008257BF" w:rsidRPr="007940D9">
        <w:t xml:space="preserve"> mii lei, </w:t>
      </w:r>
      <w:r w:rsidR="0055465E" w:rsidRPr="007940D9">
        <w:t>alocațiile au fost suplimentate cu 2818,0 mii lei de la bugetul de stat pentru salarizarea asistenților personali angajați pe o perioadă determinată de la 01 iulie 2020, fiind executate</w:t>
      </w:r>
      <w:r w:rsidR="008257BF" w:rsidRPr="007940D9">
        <w:t xml:space="preserve"> </w:t>
      </w:r>
      <w:r w:rsidR="0055465E" w:rsidRPr="007940D9">
        <w:t xml:space="preserve">510,4 </w:t>
      </w:r>
      <w:r w:rsidR="008257BF" w:rsidRPr="007940D9">
        <w:t xml:space="preserve">mii lei, sau la nivel de </w:t>
      </w:r>
      <w:r w:rsidR="0055465E" w:rsidRPr="007940D9">
        <w:t>12,3</w:t>
      </w:r>
      <w:r w:rsidR="008257BF" w:rsidRPr="007940D9">
        <w:t xml:space="preserve"> la sută. </w:t>
      </w:r>
    </w:p>
    <w:p w:rsidR="008257BF" w:rsidRPr="007940D9" w:rsidRDefault="008257BF" w:rsidP="001554E7">
      <w:pPr>
        <w:tabs>
          <w:tab w:val="left" w:pos="426"/>
        </w:tabs>
        <w:jc w:val="both"/>
      </w:pPr>
      <w:r w:rsidRPr="007940D9">
        <w:tab/>
        <w:t>Pentru anul 20</w:t>
      </w:r>
      <w:r w:rsidR="0055465E" w:rsidRPr="007940D9">
        <w:t>20</w:t>
      </w:r>
      <w:r w:rsidRPr="007940D9">
        <w:t xml:space="preserve"> la compartimentul „Cheltuieli și active nefinanciare” bugetul raional fiind aprobat inițial în sumă de </w:t>
      </w:r>
      <w:r w:rsidR="0055465E" w:rsidRPr="007940D9">
        <w:t>199397,6</w:t>
      </w:r>
      <w:r w:rsidRPr="007940D9">
        <w:t xml:space="preserve"> mii lei, pe parcursul perioadei de gestiune alocațiile bugetare au fost modificate prin majorare cu </w:t>
      </w:r>
      <w:r w:rsidR="00642492" w:rsidRPr="007940D9">
        <w:t>13118,1</w:t>
      </w:r>
      <w:r w:rsidRPr="007940D9">
        <w:t xml:space="preserve"> mii lei din contul surselor disponibile, transferurilor de la bugetul de stat, transferurilor de la Agenția pentru Eficiență Energetică și, ca urmare, planul de </w:t>
      </w:r>
      <w:r w:rsidR="00642492" w:rsidRPr="007940D9">
        <w:t>cheltuieli</w:t>
      </w:r>
      <w:r w:rsidRPr="007940D9">
        <w:t xml:space="preserve"> bugetare precizat se cifrează la suma de </w:t>
      </w:r>
      <w:r w:rsidR="00642492" w:rsidRPr="007940D9">
        <w:t>212515,7</w:t>
      </w:r>
      <w:r w:rsidRPr="007940D9">
        <w:t xml:space="preserve"> mii lei.</w:t>
      </w:r>
    </w:p>
    <w:p w:rsidR="008257BF" w:rsidRPr="007940D9" w:rsidRDefault="008257BF" w:rsidP="001554E7">
      <w:pPr>
        <w:tabs>
          <w:tab w:val="left" w:pos="426"/>
        </w:tabs>
        <w:jc w:val="both"/>
      </w:pPr>
      <w:r w:rsidRPr="007940D9">
        <w:tab/>
        <w:t xml:space="preserve">În perioada de raportare au fost executate cheltuieli în sumă totală de </w:t>
      </w:r>
      <w:r w:rsidR="00642492" w:rsidRPr="007940D9">
        <w:t>80074,8</w:t>
      </w:r>
      <w:r w:rsidRPr="007940D9">
        <w:t xml:space="preserve"> mii lei, sau la nivel de </w:t>
      </w:r>
      <w:r w:rsidR="00642492" w:rsidRPr="007940D9">
        <w:t>37,7</w:t>
      </w:r>
      <w:r w:rsidRPr="007940D9">
        <w:t xml:space="preserve"> la sută din alocațiile anuale precizate. Totodată, indicii executați constituie </w:t>
      </w:r>
      <w:r w:rsidR="00642492" w:rsidRPr="007940D9">
        <w:t>84,0</w:t>
      </w:r>
      <w:r w:rsidRPr="007940D9">
        <w:t xml:space="preserve"> la sută comparativ cu cei realizați în perioada </w:t>
      </w:r>
      <w:r w:rsidR="00642492" w:rsidRPr="007940D9">
        <w:t>similară</w:t>
      </w:r>
      <w:r w:rsidRPr="007940D9">
        <w:t xml:space="preserve"> 201</w:t>
      </w:r>
      <w:r w:rsidR="00642492" w:rsidRPr="007940D9">
        <w:t>9 și s-a diminuat</w:t>
      </w:r>
      <w:r w:rsidRPr="007940D9">
        <w:t xml:space="preserve"> cu </w:t>
      </w:r>
      <w:r w:rsidR="00642492" w:rsidRPr="007940D9">
        <w:t>15282,6</w:t>
      </w:r>
      <w:r w:rsidRPr="007940D9">
        <w:t xml:space="preserve"> mii lei</w:t>
      </w:r>
      <w:r w:rsidR="00642492" w:rsidRPr="007940D9">
        <w:t>.</w:t>
      </w:r>
      <w:r w:rsidRPr="007940D9">
        <w:t xml:space="preserve"> </w:t>
      </w:r>
    </w:p>
    <w:p w:rsidR="008257BF" w:rsidRPr="007940D9" w:rsidRDefault="008257BF" w:rsidP="001554E7">
      <w:pPr>
        <w:tabs>
          <w:tab w:val="left" w:pos="426"/>
        </w:tabs>
        <w:jc w:val="both"/>
      </w:pPr>
      <w:r w:rsidRPr="007940D9">
        <w:tab/>
        <w:t>Sinteza veniturilor şi cheltuielilor a bugetului raional se prezintă în anexa nr.2.</w:t>
      </w:r>
    </w:p>
    <w:p w:rsidR="008257BF" w:rsidRPr="007940D9" w:rsidRDefault="008257BF" w:rsidP="001554E7">
      <w:pPr>
        <w:tabs>
          <w:tab w:val="left" w:pos="426"/>
        </w:tabs>
        <w:jc w:val="both"/>
      </w:pPr>
      <w:r w:rsidRPr="007940D9">
        <w:lastRenderedPageBreak/>
        <w:tab/>
      </w:r>
      <w:r w:rsidR="001554E7" w:rsidRPr="007940D9">
        <w:t>Luând</w:t>
      </w:r>
      <w:r w:rsidR="00642492" w:rsidRPr="007940D9">
        <w:t xml:space="preserve"> în considerație situația pandemică ”COVID-19” din țară, sistarea activității </w:t>
      </w:r>
      <w:r w:rsidR="001554E7" w:rsidRPr="007940D9">
        <w:t>instituțiilor</w:t>
      </w:r>
      <w:r w:rsidR="00642492" w:rsidRPr="007940D9">
        <w:t xml:space="preserve"> de </w:t>
      </w:r>
      <w:r w:rsidR="001554E7" w:rsidRPr="007940D9">
        <w:t>învățământ</w:t>
      </w:r>
      <w:r w:rsidR="00642492" w:rsidRPr="007940D9">
        <w:t xml:space="preserve">, altor instituții, </w:t>
      </w:r>
      <w:r w:rsidR="0043239D" w:rsidRPr="007940D9">
        <w:t>i</w:t>
      </w:r>
      <w:r w:rsidRPr="007940D9">
        <w:t xml:space="preserve">ndicele general de executare a cheltuielilor bugetului raional în perioada de referință, fiind </w:t>
      </w:r>
      <w:r w:rsidR="0043239D" w:rsidRPr="007940D9">
        <w:t>unul aproape de 50,0 la sută</w:t>
      </w:r>
      <w:r w:rsidRPr="007940D9">
        <w:t xml:space="preserve">, </w:t>
      </w:r>
      <w:r w:rsidR="001554E7" w:rsidRPr="007940D9">
        <w:t>totuși</w:t>
      </w:r>
      <w:r w:rsidRPr="007940D9">
        <w:t xml:space="preserve"> la unele articole de cheltuieli nivelul de executare a alocațiilor bugetare variază substanțial de indicele totalizator, din care: </w:t>
      </w:r>
    </w:p>
    <w:p w:rsidR="008257BF" w:rsidRPr="007940D9" w:rsidRDefault="001554E7" w:rsidP="001554E7">
      <w:pPr>
        <w:pStyle w:val="Listparagraf"/>
        <w:numPr>
          <w:ilvl w:val="0"/>
          <w:numId w:val="1"/>
        </w:numPr>
        <w:tabs>
          <w:tab w:val="left" w:pos="426"/>
        </w:tabs>
        <w:ind w:left="0" w:firstLine="0"/>
        <w:jc w:val="both"/>
      </w:pPr>
      <w:r w:rsidRPr="007940D9">
        <w:t>„</w:t>
      </w:r>
      <w:r w:rsidR="008257BF" w:rsidRPr="007940D9">
        <w:t xml:space="preserve">Bunuri și servicii”, cheltuieli, </w:t>
      </w:r>
      <w:r w:rsidR="00B04364" w:rsidRPr="007940D9">
        <w:t>ce</w:t>
      </w:r>
      <w:r w:rsidR="008257BF" w:rsidRPr="007940D9">
        <w:t xml:space="preserve"> includ achitarea costului serviciilor comunale, de telecomunicații, de reparație etc., alocațiile fiind precizate în sumă de </w:t>
      </w:r>
      <w:r w:rsidR="0043239D" w:rsidRPr="007940D9">
        <w:t>32944,9</w:t>
      </w:r>
      <w:r w:rsidR="008257BF" w:rsidRPr="007940D9">
        <w:t xml:space="preserve"> mii lei, au fost executate în sumă de </w:t>
      </w:r>
      <w:r w:rsidR="0043239D" w:rsidRPr="007940D9">
        <w:t>4300,1</w:t>
      </w:r>
      <w:r w:rsidR="008257BF" w:rsidRPr="007940D9">
        <w:t xml:space="preserve"> mii lei, sau la nivel de </w:t>
      </w:r>
      <w:r w:rsidR="0043239D" w:rsidRPr="007940D9">
        <w:t>13,1</w:t>
      </w:r>
      <w:r w:rsidR="008257BF" w:rsidRPr="007940D9">
        <w:t xml:space="preserve"> la sută. Comparativ cu perioada </w:t>
      </w:r>
      <w:r w:rsidR="0043239D" w:rsidRPr="007940D9">
        <w:t xml:space="preserve">similară a anului </w:t>
      </w:r>
      <w:r w:rsidR="008257BF" w:rsidRPr="007940D9">
        <w:t>201</w:t>
      </w:r>
      <w:r w:rsidR="0043239D" w:rsidRPr="007940D9">
        <w:t>9</w:t>
      </w:r>
      <w:r w:rsidR="008257BF" w:rsidRPr="007940D9">
        <w:t xml:space="preserve">, în </w:t>
      </w:r>
      <w:r w:rsidR="0043239D" w:rsidRPr="007940D9">
        <w:t>perioada de raportare</w:t>
      </w:r>
      <w:r w:rsidR="008257BF" w:rsidRPr="007940D9">
        <w:t xml:space="preserve"> </w:t>
      </w:r>
      <w:r w:rsidR="006C3EA7" w:rsidRPr="007940D9">
        <w:t>suma</w:t>
      </w:r>
      <w:r w:rsidR="008257BF" w:rsidRPr="007940D9">
        <w:t xml:space="preserve"> cheltuielilor finanțate s-a diminuat cu </w:t>
      </w:r>
      <w:r w:rsidR="0043239D" w:rsidRPr="007940D9">
        <w:t>4791,2</w:t>
      </w:r>
      <w:r w:rsidR="008257BF" w:rsidRPr="007940D9">
        <w:t xml:space="preserve"> mii lei, din care cea mai mare pondere revine articolului ”Servicii de reparații curente” cu </w:t>
      </w:r>
      <w:r w:rsidR="00B04364" w:rsidRPr="007940D9">
        <w:t>executare la nivel de 2,1 la sută din planul precizat de 11296,9 mii lei</w:t>
      </w:r>
      <w:r w:rsidR="008257BF" w:rsidRPr="007940D9">
        <w:t>;</w:t>
      </w:r>
    </w:p>
    <w:p w:rsidR="00B04364" w:rsidRPr="007940D9" w:rsidRDefault="00B04364" w:rsidP="001554E7">
      <w:pPr>
        <w:pStyle w:val="Listparagraf"/>
        <w:numPr>
          <w:ilvl w:val="0"/>
          <w:numId w:val="1"/>
        </w:numPr>
        <w:tabs>
          <w:tab w:val="left" w:pos="426"/>
        </w:tabs>
        <w:ind w:left="0" w:firstLine="0"/>
        <w:jc w:val="both"/>
      </w:pPr>
      <w:r w:rsidRPr="007940D9">
        <w:t>”Servicii neatribuite altor alineate” cu executare la nivel de 2,0 la sută din planul precizat de11613,3 mii lei;</w:t>
      </w:r>
    </w:p>
    <w:p w:rsidR="008257BF" w:rsidRPr="007940D9" w:rsidRDefault="00B04364" w:rsidP="001554E7">
      <w:pPr>
        <w:pStyle w:val="Listparagraf"/>
        <w:numPr>
          <w:ilvl w:val="0"/>
          <w:numId w:val="1"/>
        </w:numPr>
        <w:tabs>
          <w:tab w:val="left" w:pos="426"/>
        </w:tabs>
        <w:ind w:left="0" w:firstLine="0"/>
        <w:jc w:val="both"/>
      </w:pPr>
      <w:r w:rsidRPr="007940D9">
        <w:t xml:space="preserve"> </w:t>
      </w:r>
      <w:r w:rsidR="008257BF" w:rsidRPr="007940D9">
        <w:t xml:space="preserve">„Prestații sociale” – alocațiile fiind precizate la suma de </w:t>
      </w:r>
      <w:r w:rsidRPr="007940D9">
        <w:t>8500,8</w:t>
      </w:r>
      <w:r w:rsidR="008257BF" w:rsidRPr="007940D9">
        <w:t xml:space="preserve"> mii lei, au fost executate în volum de </w:t>
      </w:r>
      <w:r w:rsidRPr="007940D9">
        <w:t>2919,3</w:t>
      </w:r>
      <w:r w:rsidR="008257BF" w:rsidRPr="007940D9">
        <w:t xml:space="preserve"> mii lei, sau la nivel de </w:t>
      </w:r>
      <w:r w:rsidRPr="007940D9">
        <w:t>34,3</w:t>
      </w:r>
      <w:r w:rsidR="008257BF" w:rsidRPr="007940D9">
        <w:t xml:space="preserve"> la sută. Comparativ cu perioada </w:t>
      </w:r>
      <w:r w:rsidRPr="007940D9">
        <w:t>respectivă</w:t>
      </w:r>
      <w:r w:rsidR="008257BF" w:rsidRPr="007940D9">
        <w:t xml:space="preserve"> 201</w:t>
      </w:r>
      <w:r w:rsidRPr="007940D9">
        <w:t>9</w:t>
      </w:r>
      <w:r w:rsidR="008257BF" w:rsidRPr="007940D9">
        <w:t xml:space="preserve"> cheltuielile s-au </w:t>
      </w:r>
      <w:r w:rsidRPr="007940D9">
        <w:t xml:space="preserve">diminuat </w:t>
      </w:r>
      <w:r w:rsidR="008257BF" w:rsidRPr="007940D9">
        <w:t xml:space="preserve">cu </w:t>
      </w:r>
      <w:r w:rsidRPr="007940D9">
        <w:t>3120,0</w:t>
      </w:r>
      <w:r w:rsidR="008257BF" w:rsidRPr="007940D9">
        <w:t xml:space="preserve"> mii lei și au atins nivelul de </w:t>
      </w:r>
      <w:r w:rsidRPr="007940D9">
        <w:t>93,6</w:t>
      </w:r>
      <w:r w:rsidR="008257BF" w:rsidRPr="007940D9">
        <w:t xml:space="preserve"> la sută</w:t>
      </w:r>
      <w:r w:rsidRPr="007940D9">
        <w:t xml:space="preserve"> din aceasta</w:t>
      </w:r>
      <w:r w:rsidR="008257BF" w:rsidRPr="007940D9">
        <w:t>;</w:t>
      </w:r>
    </w:p>
    <w:p w:rsidR="008257BF" w:rsidRPr="007940D9" w:rsidRDefault="008257BF" w:rsidP="001554E7">
      <w:pPr>
        <w:pStyle w:val="Listparagraf"/>
        <w:numPr>
          <w:ilvl w:val="0"/>
          <w:numId w:val="1"/>
        </w:numPr>
        <w:tabs>
          <w:tab w:val="left" w:pos="426"/>
        </w:tabs>
        <w:ind w:left="0" w:firstLine="0"/>
        <w:jc w:val="both"/>
      </w:pPr>
      <w:r w:rsidRPr="007940D9">
        <w:t xml:space="preserve"> „Mijloace fixe” - cea mai mare pondere revenind reparaț</w:t>
      </w:r>
      <w:r w:rsidR="00EE7599" w:rsidRPr="007940D9">
        <w:t>iilor capitale ale clădirilor</w:t>
      </w:r>
      <w:r w:rsidRPr="007940D9">
        <w:t xml:space="preserve">, alocațiile bugetare fiind aprobate în volum de </w:t>
      </w:r>
      <w:r w:rsidR="00EE7599" w:rsidRPr="007940D9">
        <w:t xml:space="preserve">3760,1 </w:t>
      </w:r>
      <w:r w:rsidRPr="007940D9">
        <w:t xml:space="preserve">mii lei, în baza deciziilor </w:t>
      </w:r>
      <w:r w:rsidR="00EE7599" w:rsidRPr="007940D9">
        <w:t>adoptate de Consiliul</w:t>
      </w:r>
      <w:r w:rsidRPr="007940D9">
        <w:t xml:space="preserve"> raional au fost majorate </w:t>
      </w:r>
      <w:r w:rsidR="00EE7599" w:rsidRPr="007940D9">
        <w:t>la</w:t>
      </w:r>
      <w:r w:rsidRPr="007940D9">
        <w:t xml:space="preserve"> sum</w:t>
      </w:r>
      <w:r w:rsidR="00EE7599" w:rsidRPr="007940D9">
        <w:t>a</w:t>
      </w:r>
      <w:r w:rsidRPr="007940D9">
        <w:t xml:space="preserve"> de </w:t>
      </w:r>
      <w:r w:rsidR="00EE7599" w:rsidRPr="007940D9">
        <w:t>12577,0</w:t>
      </w:r>
      <w:r w:rsidRPr="007940D9">
        <w:t xml:space="preserve"> mii lei. Indicele de finanțare a lucrărilor executate a atins cifra de </w:t>
      </w:r>
      <w:r w:rsidR="00EE7599" w:rsidRPr="007940D9">
        <w:t>1031,3</w:t>
      </w:r>
      <w:r w:rsidRPr="007940D9">
        <w:t xml:space="preserve"> mii lei, sau la nivel de </w:t>
      </w:r>
      <w:r w:rsidR="00EE7599" w:rsidRPr="007940D9">
        <w:t>8,2</w:t>
      </w:r>
      <w:r w:rsidRPr="007940D9">
        <w:t xml:space="preserve"> la sută din alocațiile precizate. Totodată, suma menționată </w:t>
      </w:r>
      <w:r w:rsidR="00EE7599" w:rsidRPr="007940D9">
        <w:t>s-a diminuat considerabil comparativ cu perioada similară 2019</w:t>
      </w:r>
      <w:r w:rsidRPr="007940D9">
        <w:t xml:space="preserve"> cu </w:t>
      </w:r>
      <w:r w:rsidR="00EE7599" w:rsidRPr="007940D9">
        <w:t>6269,9 mii lei.</w:t>
      </w:r>
    </w:p>
    <w:p w:rsidR="008257BF" w:rsidRPr="007940D9" w:rsidRDefault="008257BF" w:rsidP="001554E7">
      <w:pPr>
        <w:tabs>
          <w:tab w:val="left" w:pos="426"/>
          <w:tab w:val="left" w:pos="1170"/>
        </w:tabs>
        <w:jc w:val="both"/>
      </w:pPr>
      <w:r w:rsidRPr="007940D9">
        <w:tab/>
      </w:r>
      <w:r w:rsidR="007940D9" w:rsidRPr="007940D9">
        <w:t>Analizând</w:t>
      </w:r>
      <w:r w:rsidRPr="007940D9">
        <w:t xml:space="preserve"> structura alocațiilor bugetare finanțate în perioada de raportare, ponderea cea mai mare revine la capitolele:</w:t>
      </w:r>
    </w:p>
    <w:p w:rsidR="008257BF" w:rsidRPr="007940D9" w:rsidRDefault="008257BF" w:rsidP="001554E7">
      <w:pPr>
        <w:tabs>
          <w:tab w:val="left" w:pos="426"/>
          <w:tab w:val="left" w:pos="1170"/>
        </w:tabs>
        <w:jc w:val="both"/>
      </w:pPr>
      <w:r w:rsidRPr="007940D9">
        <w:t xml:space="preserve">- cheltuielile de personal cu suma achitată </w:t>
      </w:r>
      <w:r w:rsidR="00EE7599" w:rsidRPr="007940D9">
        <w:t xml:space="preserve"> 65856,2 </w:t>
      </w:r>
      <w:r w:rsidRPr="007940D9">
        <w:t xml:space="preserve">mii lei, sau </w:t>
      </w:r>
      <w:r w:rsidR="00EE7599" w:rsidRPr="007940D9">
        <w:t>82,2</w:t>
      </w:r>
      <w:r w:rsidRPr="007940D9">
        <w:t xml:space="preserve"> la sută din volumul total al cheltuielilor finanțate;</w:t>
      </w:r>
    </w:p>
    <w:p w:rsidR="00EE7599" w:rsidRPr="007940D9" w:rsidRDefault="00EE7599" w:rsidP="001554E7">
      <w:pPr>
        <w:tabs>
          <w:tab w:val="left" w:pos="426"/>
          <w:tab w:val="left" w:pos="1170"/>
        </w:tabs>
        <w:jc w:val="both"/>
      </w:pPr>
      <w:r w:rsidRPr="007940D9">
        <w:t>- plata pentru bunuri și servicii cu suma de 4300,1 mii lei, sau 5,4 la sută din cheltuielile executate;</w:t>
      </w:r>
    </w:p>
    <w:p w:rsidR="00EE7599" w:rsidRPr="007940D9" w:rsidRDefault="00EE7599" w:rsidP="001554E7">
      <w:pPr>
        <w:tabs>
          <w:tab w:val="left" w:pos="426"/>
          <w:tab w:val="left" w:pos="1170"/>
        </w:tabs>
        <w:jc w:val="both"/>
      </w:pPr>
      <w:r w:rsidRPr="007940D9">
        <w:t xml:space="preserve">- </w:t>
      </w:r>
      <w:r w:rsidR="007940D9" w:rsidRPr="007940D9">
        <w:t>prestațiile</w:t>
      </w:r>
      <w:r w:rsidRPr="007940D9">
        <w:t xml:space="preserve"> sociale în suma de 3084,6 mii lei, sau 3,9 la sută din finanțarea executată;</w:t>
      </w:r>
    </w:p>
    <w:p w:rsidR="00EE7599" w:rsidRPr="007940D9" w:rsidRDefault="00EE7599" w:rsidP="001554E7">
      <w:pPr>
        <w:tabs>
          <w:tab w:val="left" w:pos="426"/>
          <w:tab w:val="left" w:pos="1170"/>
        </w:tabs>
        <w:jc w:val="both"/>
      </w:pPr>
      <w:r w:rsidRPr="007940D9">
        <w:t xml:space="preserve">- procurarea valorilor materiale cu suma de </w:t>
      </w:r>
      <w:r w:rsidR="000C2813" w:rsidRPr="007940D9">
        <w:t>2843,1</w:t>
      </w:r>
      <w:r w:rsidRPr="007940D9">
        <w:t xml:space="preserve"> mii lei, sau </w:t>
      </w:r>
      <w:r w:rsidR="000C2813" w:rsidRPr="007940D9">
        <w:t>3,6</w:t>
      </w:r>
      <w:r w:rsidRPr="007940D9">
        <w:t xml:space="preserve"> la sută din finanțarea executată;</w:t>
      </w:r>
    </w:p>
    <w:p w:rsidR="00EE7599" w:rsidRPr="007940D9" w:rsidRDefault="000C2813" w:rsidP="001554E7">
      <w:pPr>
        <w:tabs>
          <w:tab w:val="left" w:pos="426"/>
          <w:tab w:val="left" w:pos="1170"/>
        </w:tabs>
        <w:jc w:val="both"/>
      </w:pPr>
      <w:r w:rsidRPr="007940D9">
        <w:t>- subsidii cu executare în volum de 2317,4 mii lei constituie 2,9 la sută din finanțarea executată.</w:t>
      </w:r>
    </w:p>
    <w:p w:rsidR="008257BF" w:rsidRPr="007940D9" w:rsidRDefault="008257BF" w:rsidP="001554E7">
      <w:pPr>
        <w:tabs>
          <w:tab w:val="left" w:pos="426"/>
          <w:tab w:val="left" w:pos="1170"/>
        </w:tabs>
        <w:jc w:val="both"/>
      </w:pPr>
      <w:r w:rsidRPr="007940D9">
        <w:tab/>
        <w:t xml:space="preserve">Conform </w:t>
      </w:r>
      <w:r w:rsidR="007940D9" w:rsidRPr="007940D9">
        <w:t>condițiilor</w:t>
      </w:r>
      <w:r w:rsidRPr="007940D9">
        <w:t xml:space="preserve"> contractuale, în perioada de raportare a fost </w:t>
      </w:r>
      <w:r w:rsidR="007940D9" w:rsidRPr="007940D9">
        <w:t xml:space="preserve">achitată dobânda la împrumutul </w:t>
      </w:r>
      <w:r w:rsidRPr="007940D9">
        <w:t xml:space="preserve">acordat de către Ministerul </w:t>
      </w:r>
      <w:r w:rsidR="007940D9" w:rsidRPr="007940D9">
        <w:t>Finanțelor</w:t>
      </w:r>
      <w:r w:rsidRPr="007940D9">
        <w:t xml:space="preserve"> pentru </w:t>
      </w:r>
      <w:r w:rsidR="007940D9" w:rsidRPr="007940D9">
        <w:t>construcția</w:t>
      </w:r>
      <w:r w:rsidRPr="007940D9">
        <w:t xml:space="preserve"> „Casei sociale” din or.</w:t>
      </w:r>
      <w:r w:rsidR="007940D9" w:rsidRPr="007940D9">
        <w:t xml:space="preserve"> </w:t>
      </w:r>
      <w:r w:rsidRPr="007940D9">
        <w:t xml:space="preserve">Criuleni în sumă de </w:t>
      </w:r>
      <w:r w:rsidR="000C2813" w:rsidRPr="007940D9">
        <w:t>101,1</w:t>
      </w:r>
      <w:r w:rsidRPr="007940D9">
        <w:t xml:space="preserve"> mii lei și rambursarea împrumutului la bugetul de stat în sumă de </w:t>
      </w:r>
      <w:r w:rsidR="000C2813" w:rsidRPr="007940D9">
        <w:t>962,6</w:t>
      </w:r>
      <w:r w:rsidRPr="007940D9">
        <w:t xml:space="preserve"> mii lei.</w:t>
      </w:r>
    </w:p>
    <w:p w:rsidR="008257BF" w:rsidRPr="007940D9" w:rsidRDefault="008257BF" w:rsidP="001554E7">
      <w:pPr>
        <w:tabs>
          <w:tab w:val="left" w:pos="426"/>
          <w:tab w:val="left" w:pos="1170"/>
        </w:tabs>
        <w:jc w:val="both"/>
      </w:pPr>
      <w:r w:rsidRPr="007940D9">
        <w:tab/>
        <w:t xml:space="preserve">Volumul de </w:t>
      </w:r>
      <w:r w:rsidR="007940D9" w:rsidRPr="007940D9">
        <w:t>finanțare</w:t>
      </w:r>
      <w:r w:rsidRPr="007940D9">
        <w:t xml:space="preserve"> al cheltuielilor </w:t>
      </w:r>
      <w:r w:rsidR="007940D9" w:rsidRPr="007940D9">
        <w:t>instituțiilor</w:t>
      </w:r>
      <w:r w:rsidRPr="007940D9">
        <w:t xml:space="preserve"> din subordinea Consiliului raional variază în </w:t>
      </w:r>
      <w:r w:rsidR="007940D9" w:rsidRPr="007940D9">
        <w:t>dependență</w:t>
      </w:r>
      <w:r w:rsidRPr="007940D9">
        <w:t xml:space="preserve"> de </w:t>
      </w:r>
      <w:r w:rsidR="007940D9" w:rsidRPr="007940D9">
        <w:t>funcția</w:t>
      </w:r>
      <w:r w:rsidRPr="007940D9">
        <w:t xml:space="preserve">  (domeniul de activitate), sarcinile acestora.</w:t>
      </w:r>
    </w:p>
    <w:p w:rsidR="003846FA" w:rsidRPr="007940D9" w:rsidRDefault="008257BF" w:rsidP="001554E7">
      <w:pPr>
        <w:tabs>
          <w:tab w:val="left" w:pos="426"/>
        </w:tabs>
        <w:jc w:val="both"/>
      </w:pPr>
      <w:r w:rsidRPr="007940D9">
        <w:tab/>
        <w:t xml:space="preserve">La compartimentul </w:t>
      </w:r>
      <w:r w:rsidRPr="007940D9">
        <w:rPr>
          <w:b/>
        </w:rPr>
        <w:t xml:space="preserve">„Servicii de stat cu </w:t>
      </w:r>
      <w:r w:rsidR="007940D9" w:rsidRPr="007940D9">
        <w:rPr>
          <w:b/>
        </w:rPr>
        <w:t>destinație</w:t>
      </w:r>
      <w:r w:rsidRPr="007940D9">
        <w:rPr>
          <w:b/>
        </w:rPr>
        <w:t xml:space="preserve"> generală”</w:t>
      </w:r>
      <w:r w:rsidRPr="007940D9">
        <w:t xml:space="preserve"> alocațiile bugetare au fost executate la nivel de </w:t>
      </w:r>
      <w:r w:rsidR="003846FA" w:rsidRPr="007940D9">
        <w:t>30,8</w:t>
      </w:r>
      <w:r w:rsidRPr="007940D9">
        <w:t xml:space="preserve"> la sută sau în sumă de </w:t>
      </w:r>
      <w:r w:rsidR="003846FA" w:rsidRPr="007940D9">
        <w:t>3164,1</w:t>
      </w:r>
      <w:r w:rsidRPr="007940D9">
        <w:t xml:space="preserve"> din planul precizat de </w:t>
      </w:r>
      <w:r w:rsidR="003846FA" w:rsidRPr="007940D9">
        <w:t>10259,5</w:t>
      </w:r>
      <w:r w:rsidRPr="007940D9">
        <w:t xml:space="preserve"> mii lei. Totodată, indicii executați constituie </w:t>
      </w:r>
      <w:r w:rsidR="003846FA" w:rsidRPr="007940D9">
        <w:t>53,4</w:t>
      </w:r>
      <w:r w:rsidRPr="007940D9">
        <w:t xml:space="preserve"> la sută comparativ cu cei realizați în perioada </w:t>
      </w:r>
      <w:r w:rsidR="003846FA" w:rsidRPr="007940D9">
        <w:t>similară</w:t>
      </w:r>
      <w:r w:rsidRPr="007940D9">
        <w:t xml:space="preserve"> 201</w:t>
      </w:r>
      <w:r w:rsidR="003846FA" w:rsidRPr="007940D9">
        <w:t>9 și s-au diminuat</w:t>
      </w:r>
      <w:r w:rsidRPr="007940D9">
        <w:t xml:space="preserve"> cu </w:t>
      </w:r>
      <w:r w:rsidR="003846FA" w:rsidRPr="007940D9">
        <w:t>2755,9</w:t>
      </w:r>
      <w:r w:rsidRPr="007940D9">
        <w:t xml:space="preserve"> mii lei</w:t>
      </w:r>
      <w:r w:rsidR="003846FA" w:rsidRPr="007940D9">
        <w:t>.</w:t>
      </w:r>
    </w:p>
    <w:p w:rsidR="008257BF" w:rsidRPr="007940D9" w:rsidRDefault="008257BF" w:rsidP="001554E7">
      <w:pPr>
        <w:tabs>
          <w:tab w:val="left" w:pos="426"/>
        </w:tabs>
        <w:jc w:val="both"/>
      </w:pPr>
      <w:r w:rsidRPr="007940D9">
        <w:tab/>
        <w:t xml:space="preserve">Nivelul de executare a alocațiilor bugetare la grupa menționată a fost influențat de </w:t>
      </w:r>
      <w:r w:rsidR="003846FA" w:rsidRPr="007940D9">
        <w:t xml:space="preserve">indicii de </w:t>
      </w:r>
      <w:r w:rsidRPr="007940D9">
        <w:t>finanțare</w:t>
      </w:r>
      <w:r w:rsidR="003846FA" w:rsidRPr="007940D9">
        <w:t xml:space="preserve"> </w:t>
      </w:r>
      <w:r w:rsidRPr="007940D9">
        <w:t>a cheltuielilor la capitolul:</w:t>
      </w:r>
    </w:p>
    <w:p w:rsidR="008257BF" w:rsidRPr="007940D9" w:rsidRDefault="007940D9" w:rsidP="001554E7">
      <w:pPr>
        <w:pStyle w:val="Listparagraf"/>
        <w:numPr>
          <w:ilvl w:val="0"/>
          <w:numId w:val="1"/>
        </w:numPr>
        <w:tabs>
          <w:tab w:val="left" w:pos="0"/>
          <w:tab w:val="left" w:pos="284"/>
          <w:tab w:val="left" w:pos="426"/>
        </w:tabs>
        <w:ind w:left="0" w:firstLine="0"/>
        <w:jc w:val="both"/>
      </w:pPr>
      <w:r w:rsidRPr="007940D9">
        <w:t>„</w:t>
      </w:r>
      <w:r w:rsidR="008257BF" w:rsidRPr="007940D9">
        <w:t>Servicii”</w:t>
      </w:r>
      <w:r w:rsidR="00852D5F" w:rsidRPr="007940D9">
        <w:t xml:space="preserve"> (preponderent</w:t>
      </w:r>
      <w:r w:rsidR="003D69A2" w:rsidRPr="007940D9">
        <w:t xml:space="preserve"> comunale, de reparații curente, de transport etc.</w:t>
      </w:r>
      <w:r w:rsidR="00852D5F" w:rsidRPr="007940D9">
        <w:t>)</w:t>
      </w:r>
      <w:r w:rsidR="008257BF" w:rsidRPr="007940D9">
        <w:t xml:space="preserve"> - cu o executare la nivel de </w:t>
      </w:r>
      <w:r w:rsidR="003D69A2" w:rsidRPr="007940D9">
        <w:t>24,9</w:t>
      </w:r>
      <w:r w:rsidR="008257BF" w:rsidRPr="007940D9">
        <w:t xml:space="preserve"> la sută</w:t>
      </w:r>
      <w:r w:rsidR="003846FA" w:rsidRPr="007940D9">
        <w:t xml:space="preserve"> din </w:t>
      </w:r>
      <w:r w:rsidR="00852D5F" w:rsidRPr="007940D9">
        <w:t xml:space="preserve">planul precizat de </w:t>
      </w:r>
      <w:r w:rsidR="003D69A2" w:rsidRPr="007940D9">
        <w:t>1905,5</w:t>
      </w:r>
      <w:r w:rsidR="00852D5F" w:rsidRPr="007940D9">
        <w:t xml:space="preserve"> mii lei</w:t>
      </w:r>
      <w:r w:rsidR="008257BF" w:rsidRPr="007940D9">
        <w:t xml:space="preserve">; </w:t>
      </w:r>
    </w:p>
    <w:p w:rsidR="008257BF" w:rsidRPr="007940D9" w:rsidRDefault="007940D9" w:rsidP="001554E7">
      <w:pPr>
        <w:pStyle w:val="Listparagraf"/>
        <w:numPr>
          <w:ilvl w:val="0"/>
          <w:numId w:val="1"/>
        </w:numPr>
        <w:tabs>
          <w:tab w:val="left" w:pos="284"/>
          <w:tab w:val="left" w:pos="426"/>
          <w:tab w:val="left" w:pos="1170"/>
        </w:tabs>
        <w:ind w:left="0" w:firstLine="0"/>
        <w:jc w:val="both"/>
      </w:pPr>
      <w:r w:rsidRPr="007940D9">
        <w:t>„</w:t>
      </w:r>
      <w:r w:rsidR="008257BF" w:rsidRPr="007940D9">
        <w:t xml:space="preserve">Stocuri de materiale circulante” - cu o executare la nivel de </w:t>
      </w:r>
      <w:r w:rsidR="00852D5F" w:rsidRPr="007940D9">
        <w:t>25,</w:t>
      </w:r>
      <w:r w:rsidR="003D69A2" w:rsidRPr="007940D9">
        <w:t>8</w:t>
      </w:r>
      <w:r w:rsidR="008257BF" w:rsidRPr="007940D9">
        <w:t xml:space="preserve"> la sută</w:t>
      </w:r>
      <w:r w:rsidR="00852D5F" w:rsidRPr="007940D9">
        <w:t xml:space="preserve"> din planul precizat de </w:t>
      </w:r>
      <w:r w:rsidR="003D69A2" w:rsidRPr="007940D9">
        <w:t>1149,8</w:t>
      </w:r>
      <w:r w:rsidR="00852D5F" w:rsidRPr="007940D9">
        <w:t xml:space="preserve"> mii lei</w:t>
      </w:r>
      <w:r w:rsidR="008257BF" w:rsidRPr="007940D9">
        <w:t>;</w:t>
      </w:r>
    </w:p>
    <w:p w:rsidR="008257BF" w:rsidRPr="007940D9" w:rsidRDefault="007940D9" w:rsidP="001554E7">
      <w:pPr>
        <w:pStyle w:val="Listparagraf"/>
        <w:numPr>
          <w:ilvl w:val="0"/>
          <w:numId w:val="1"/>
        </w:numPr>
        <w:tabs>
          <w:tab w:val="left" w:pos="426"/>
          <w:tab w:val="left" w:pos="1170"/>
        </w:tabs>
        <w:ind w:left="0" w:firstLine="0"/>
        <w:jc w:val="both"/>
      </w:pPr>
      <w:r w:rsidRPr="007940D9">
        <w:t>„</w:t>
      </w:r>
      <w:r w:rsidR="008257BF" w:rsidRPr="007940D9">
        <w:t xml:space="preserve">Mijloace fixe” - </w:t>
      </w:r>
      <w:r w:rsidRPr="007940D9">
        <w:t>planul precizat cifrâ</w:t>
      </w:r>
      <w:r w:rsidR="00852D5F" w:rsidRPr="007940D9">
        <w:t xml:space="preserve">ndu-se la suma de </w:t>
      </w:r>
      <w:r w:rsidR="003D69A2" w:rsidRPr="007940D9">
        <w:t>597,8</w:t>
      </w:r>
      <w:r w:rsidR="00852D5F" w:rsidRPr="007940D9">
        <w:t xml:space="preserve"> mii lei,</w:t>
      </w:r>
      <w:r w:rsidR="008257BF" w:rsidRPr="007940D9">
        <w:t xml:space="preserve"> executare</w:t>
      </w:r>
      <w:r w:rsidR="00852D5F" w:rsidRPr="007940D9">
        <w:t>a</w:t>
      </w:r>
      <w:r w:rsidR="008257BF" w:rsidRPr="007940D9">
        <w:t xml:space="preserve"> </w:t>
      </w:r>
      <w:r w:rsidR="003D69A2" w:rsidRPr="007940D9">
        <w:t>constituie 6,8 la sută.</w:t>
      </w:r>
      <w:r w:rsidR="008257BF" w:rsidRPr="007940D9">
        <w:t xml:space="preserve"> </w:t>
      </w:r>
    </w:p>
    <w:p w:rsidR="003D69A2" w:rsidRPr="007940D9" w:rsidRDefault="007940D9" w:rsidP="001554E7">
      <w:pPr>
        <w:tabs>
          <w:tab w:val="left" w:pos="426"/>
          <w:tab w:val="left" w:pos="1170"/>
        </w:tabs>
        <w:jc w:val="both"/>
      </w:pPr>
      <w:r w:rsidRPr="007940D9">
        <w:tab/>
        <w:t>Finanțarea</w:t>
      </w:r>
      <w:r w:rsidR="008257BF" w:rsidRPr="007940D9">
        <w:t xml:space="preserve"> cheltuielilor la </w:t>
      </w:r>
      <w:r w:rsidRPr="007940D9">
        <w:t>compartimentul</w:t>
      </w:r>
      <w:r w:rsidR="008257BF" w:rsidRPr="007940D9">
        <w:t xml:space="preserve">  </w:t>
      </w:r>
      <w:r w:rsidR="008257BF" w:rsidRPr="007940D9">
        <w:rPr>
          <w:b/>
        </w:rPr>
        <w:t xml:space="preserve">„Apărarea </w:t>
      </w:r>
      <w:r w:rsidRPr="007940D9">
        <w:rPr>
          <w:b/>
        </w:rPr>
        <w:t>națională</w:t>
      </w:r>
      <w:r w:rsidR="008257BF" w:rsidRPr="007940D9">
        <w:rPr>
          <w:b/>
        </w:rPr>
        <w:t>”</w:t>
      </w:r>
      <w:r w:rsidR="008257BF" w:rsidRPr="007940D9">
        <w:t xml:space="preserve"> a fost efectuată la nivel de </w:t>
      </w:r>
      <w:r w:rsidR="00852D5F" w:rsidRPr="007940D9">
        <w:t>19,4</w:t>
      </w:r>
      <w:r w:rsidR="008257BF" w:rsidRPr="007940D9">
        <w:t xml:space="preserve"> la sută sau în sumă de </w:t>
      </w:r>
      <w:r w:rsidR="00852D5F" w:rsidRPr="007940D9">
        <w:t>44,2</w:t>
      </w:r>
      <w:r w:rsidR="008257BF" w:rsidRPr="007940D9">
        <w:t xml:space="preserve"> mii lei din planul precizat de </w:t>
      </w:r>
      <w:r w:rsidR="00852D5F" w:rsidRPr="007940D9">
        <w:t>228,0</w:t>
      </w:r>
      <w:r w:rsidR="008257BF" w:rsidRPr="007940D9">
        <w:t xml:space="preserve"> mii lei. La acest compartiment executare scăzută se atestă la componentele de cheltuieli:</w:t>
      </w:r>
    </w:p>
    <w:p w:rsidR="003D69A2" w:rsidRPr="007940D9" w:rsidRDefault="007940D9" w:rsidP="001554E7">
      <w:pPr>
        <w:pStyle w:val="Listparagraf"/>
        <w:numPr>
          <w:ilvl w:val="0"/>
          <w:numId w:val="1"/>
        </w:numPr>
        <w:tabs>
          <w:tab w:val="left" w:pos="0"/>
          <w:tab w:val="left" w:pos="426"/>
        </w:tabs>
        <w:ind w:left="0" w:firstLine="0"/>
        <w:jc w:val="both"/>
      </w:pPr>
      <w:r w:rsidRPr="007940D9">
        <w:t>„</w:t>
      </w:r>
      <w:r w:rsidR="003D69A2" w:rsidRPr="007940D9">
        <w:t xml:space="preserve">Servicii” (preponderent medicale) - cu o executare la nivel de 16,7 la sută din planul precizat de 123,4 mii lei; </w:t>
      </w:r>
    </w:p>
    <w:p w:rsidR="003D69A2" w:rsidRPr="007940D9" w:rsidRDefault="007940D9" w:rsidP="001554E7">
      <w:pPr>
        <w:pStyle w:val="Listparagraf"/>
        <w:numPr>
          <w:ilvl w:val="0"/>
          <w:numId w:val="1"/>
        </w:numPr>
        <w:tabs>
          <w:tab w:val="left" w:pos="426"/>
          <w:tab w:val="left" w:pos="1170"/>
        </w:tabs>
        <w:ind w:left="0" w:firstLine="0"/>
        <w:jc w:val="both"/>
      </w:pPr>
      <w:r w:rsidRPr="007940D9">
        <w:t>„</w:t>
      </w:r>
      <w:r w:rsidR="003D69A2" w:rsidRPr="007940D9">
        <w:t>Stocuri de materiale circulante” - cu o executare la nivel de 25,1 la sută din planul precizat de 58,5 mii lei;</w:t>
      </w:r>
    </w:p>
    <w:p w:rsidR="003D69A2" w:rsidRPr="007940D9" w:rsidRDefault="007940D9" w:rsidP="001554E7">
      <w:pPr>
        <w:pStyle w:val="Listparagraf"/>
        <w:numPr>
          <w:ilvl w:val="0"/>
          <w:numId w:val="1"/>
        </w:numPr>
        <w:tabs>
          <w:tab w:val="left" w:pos="426"/>
          <w:tab w:val="left" w:pos="1170"/>
        </w:tabs>
        <w:ind w:left="0" w:firstLine="0"/>
        <w:jc w:val="both"/>
      </w:pPr>
      <w:r w:rsidRPr="007940D9">
        <w:t>„</w:t>
      </w:r>
      <w:r w:rsidR="003D69A2" w:rsidRPr="007940D9">
        <w:t>Mijloace f</w:t>
      </w:r>
      <w:r w:rsidRPr="007940D9">
        <w:t>ixe” - planul precizat cifrâ</w:t>
      </w:r>
      <w:r w:rsidR="003D69A2" w:rsidRPr="007940D9">
        <w:t>ndu-se la suma de 30,0 mii lei, executarea e</w:t>
      </w:r>
      <w:r w:rsidRPr="007940D9">
        <w:t>ste</w:t>
      </w:r>
      <w:r w:rsidR="003D69A2" w:rsidRPr="007940D9">
        <w:t xml:space="preserve"> „zero„. </w:t>
      </w:r>
    </w:p>
    <w:p w:rsidR="008257BF" w:rsidRPr="007940D9" w:rsidRDefault="008257BF" w:rsidP="001554E7">
      <w:pPr>
        <w:tabs>
          <w:tab w:val="left" w:pos="426"/>
          <w:tab w:val="left" w:pos="1170"/>
        </w:tabs>
        <w:jc w:val="both"/>
      </w:pPr>
      <w:r w:rsidRPr="007940D9">
        <w:tab/>
        <w:t xml:space="preserve">La grupa funcției </w:t>
      </w:r>
      <w:r w:rsidRPr="007940D9">
        <w:rPr>
          <w:b/>
        </w:rPr>
        <w:t>„Ordine publică și securitatea națională”</w:t>
      </w:r>
      <w:r w:rsidRPr="007940D9">
        <w:t>, alocațiile bugetare</w:t>
      </w:r>
      <w:r w:rsidRPr="007940D9">
        <w:rPr>
          <w:b/>
        </w:rPr>
        <w:t xml:space="preserve"> </w:t>
      </w:r>
      <w:r w:rsidRPr="007940D9">
        <w:t xml:space="preserve">fiind precizate în sumă de </w:t>
      </w:r>
      <w:r w:rsidR="00874484" w:rsidRPr="007940D9">
        <w:t>240,5</w:t>
      </w:r>
      <w:r w:rsidRPr="007940D9">
        <w:t xml:space="preserve"> mii lei, a fost finanțată suma de </w:t>
      </w:r>
      <w:r w:rsidR="00874484" w:rsidRPr="007940D9">
        <w:t>11,0</w:t>
      </w:r>
      <w:r w:rsidRPr="007940D9">
        <w:t xml:space="preserve"> mii lei, din contul căreia s-au </w:t>
      </w:r>
      <w:r w:rsidRPr="007940D9">
        <w:lastRenderedPageBreak/>
        <w:t>procurat carburanți pentru transportul special din dotarea Secției Situații Excepționale Criuleni în scopul asigurării inte</w:t>
      </w:r>
      <w:r w:rsidR="00B93D3D" w:rsidRPr="007940D9">
        <w:t xml:space="preserve">rvențiilor </w:t>
      </w:r>
      <w:r w:rsidR="007940D9" w:rsidRPr="007940D9">
        <w:t>promite</w:t>
      </w:r>
      <w:r w:rsidR="00B93D3D" w:rsidRPr="007940D9">
        <w:t xml:space="preserve"> în situația stării de </w:t>
      </w:r>
      <w:r w:rsidR="000A7691" w:rsidRPr="007940D9">
        <w:t>urgență</w:t>
      </w:r>
      <w:r w:rsidRPr="007940D9">
        <w:t xml:space="preserve">.          </w:t>
      </w:r>
    </w:p>
    <w:p w:rsidR="008257BF" w:rsidRPr="007940D9" w:rsidRDefault="008257BF" w:rsidP="001554E7">
      <w:pPr>
        <w:tabs>
          <w:tab w:val="left" w:pos="426"/>
          <w:tab w:val="left" w:pos="1170"/>
        </w:tabs>
        <w:jc w:val="both"/>
      </w:pPr>
      <w:r w:rsidRPr="007940D9">
        <w:tab/>
        <w:t xml:space="preserve">Volumul de cheltuieli la compartimentul </w:t>
      </w:r>
      <w:r w:rsidRPr="007940D9">
        <w:rPr>
          <w:b/>
        </w:rPr>
        <w:t>„Servicii în domeniul economiei”</w:t>
      </w:r>
      <w:r w:rsidRPr="007940D9">
        <w:t xml:space="preserve"> a fost executat în sumă de </w:t>
      </w:r>
      <w:r w:rsidR="000A7691" w:rsidRPr="007940D9">
        <w:t>854,8</w:t>
      </w:r>
      <w:r w:rsidRPr="007940D9">
        <w:t xml:space="preserve"> mii lei, sau la nivel de </w:t>
      </w:r>
      <w:r w:rsidR="000A7691" w:rsidRPr="007940D9">
        <w:t>7,3</w:t>
      </w:r>
      <w:r w:rsidRPr="007940D9">
        <w:t xml:space="preserve"> la sută din planul precizat de </w:t>
      </w:r>
      <w:r w:rsidR="000A7691" w:rsidRPr="007940D9">
        <w:t>11776,7</w:t>
      </w:r>
      <w:r w:rsidRPr="007940D9">
        <w:t xml:space="preserve"> mii lei. Alocațiile executate la compartimentul dat în perioada de raportare s-au diminuat cu </w:t>
      </w:r>
      <w:r w:rsidR="000A7691" w:rsidRPr="007940D9">
        <w:t>5427,0</w:t>
      </w:r>
      <w:r w:rsidRPr="007940D9">
        <w:t xml:space="preserve"> mii lei comparativ cu cheltuielile </w:t>
      </w:r>
      <w:r w:rsidR="000A7691" w:rsidRPr="007940D9">
        <w:t>finanțate</w:t>
      </w:r>
      <w:r w:rsidRPr="007940D9">
        <w:t xml:space="preserve"> în perioada </w:t>
      </w:r>
      <w:r w:rsidR="007940D9" w:rsidRPr="007940D9">
        <w:t>similară</w:t>
      </w:r>
      <w:r w:rsidR="000A7691" w:rsidRPr="007940D9">
        <w:t xml:space="preserve"> a </w:t>
      </w:r>
      <w:r w:rsidRPr="007940D9">
        <w:t>anului 201</w:t>
      </w:r>
      <w:r w:rsidR="000A7691" w:rsidRPr="007940D9">
        <w:t>9</w:t>
      </w:r>
      <w:r w:rsidRPr="007940D9">
        <w:t>.</w:t>
      </w:r>
    </w:p>
    <w:p w:rsidR="008257BF" w:rsidRPr="007940D9" w:rsidRDefault="008257BF" w:rsidP="001554E7">
      <w:pPr>
        <w:tabs>
          <w:tab w:val="left" w:pos="426"/>
          <w:tab w:val="left" w:pos="1170"/>
        </w:tabs>
        <w:jc w:val="both"/>
      </w:pPr>
      <w:r w:rsidRPr="007940D9">
        <w:tab/>
        <w:t xml:space="preserve">Cea mai mare pondere în grupa nominalizată constituie cheltuielile pentru </w:t>
      </w:r>
      <w:r w:rsidR="007940D9" w:rsidRPr="007940D9">
        <w:t>reparația</w:t>
      </w:r>
      <w:r w:rsidRPr="007940D9">
        <w:t xml:space="preserve"> şi </w:t>
      </w:r>
      <w:r w:rsidR="007940D9" w:rsidRPr="007940D9">
        <w:t>întreținerea</w:t>
      </w:r>
      <w:r w:rsidRPr="007940D9">
        <w:t xml:space="preserve"> drumurilor locale cu executare în sumă de </w:t>
      </w:r>
      <w:r w:rsidR="000A7691" w:rsidRPr="007940D9">
        <w:t>45,2</w:t>
      </w:r>
      <w:r w:rsidRPr="007940D9">
        <w:t xml:space="preserve"> mii lei, ceia ce constituie </w:t>
      </w:r>
      <w:r w:rsidR="000A7691" w:rsidRPr="007940D9">
        <w:t>0,5</w:t>
      </w:r>
      <w:r w:rsidRPr="007940D9">
        <w:t xml:space="preserve"> la sută din planul precizat de </w:t>
      </w:r>
      <w:r w:rsidR="000A7691" w:rsidRPr="007940D9">
        <w:t>9667,9</w:t>
      </w:r>
      <w:r w:rsidRPr="007940D9">
        <w:t xml:space="preserve"> mii lei. Pentru comparație - în </w:t>
      </w:r>
      <w:r w:rsidR="000A7691" w:rsidRPr="007940D9">
        <w:t>perioada similară</w:t>
      </w:r>
      <w:r w:rsidRPr="007940D9">
        <w:t xml:space="preserve"> 201</w:t>
      </w:r>
      <w:r w:rsidR="000A7691" w:rsidRPr="007940D9">
        <w:t>9</w:t>
      </w:r>
      <w:r w:rsidRPr="007940D9">
        <w:t xml:space="preserve"> au fost executate lucrări în sumă de </w:t>
      </w:r>
      <w:r w:rsidR="000A7691" w:rsidRPr="007940D9">
        <w:t>5368,9</w:t>
      </w:r>
      <w:r w:rsidRPr="007940D9">
        <w:t xml:space="preserve"> mii lei.</w:t>
      </w:r>
    </w:p>
    <w:p w:rsidR="008257BF" w:rsidRPr="007940D9" w:rsidRDefault="008257BF" w:rsidP="001554E7">
      <w:pPr>
        <w:tabs>
          <w:tab w:val="left" w:pos="426"/>
          <w:tab w:val="left" w:pos="1170"/>
        </w:tabs>
        <w:jc w:val="both"/>
      </w:pPr>
      <w:r w:rsidRPr="007940D9">
        <w:tab/>
        <w:t xml:space="preserve">La grupa de cheltuieli </w:t>
      </w:r>
      <w:r w:rsidRPr="007940D9">
        <w:rPr>
          <w:b/>
        </w:rPr>
        <w:t>„</w:t>
      </w:r>
      <w:r w:rsidR="007940D9" w:rsidRPr="007940D9">
        <w:rPr>
          <w:b/>
        </w:rPr>
        <w:t>Protecția</w:t>
      </w:r>
      <w:r w:rsidRPr="007940D9">
        <w:rPr>
          <w:b/>
        </w:rPr>
        <w:t xml:space="preserve"> mediului” </w:t>
      </w:r>
      <w:r w:rsidRPr="007940D9">
        <w:t>pentru anul 20</w:t>
      </w:r>
      <w:r w:rsidR="000A7691" w:rsidRPr="007940D9">
        <w:t>20</w:t>
      </w:r>
      <w:r w:rsidRPr="007940D9">
        <w:rPr>
          <w:b/>
        </w:rPr>
        <w:t xml:space="preserve"> </w:t>
      </w:r>
      <w:r w:rsidRPr="007940D9">
        <w:t>au fost precizate alocații bugetare în sumă de</w:t>
      </w:r>
      <w:r w:rsidR="000A7691" w:rsidRPr="007940D9">
        <w:t xml:space="preserve"> 152</w:t>
      </w:r>
      <w:r w:rsidRPr="007940D9">
        <w:t xml:space="preserve">0,0 mii lei -  mijloace financiare alocate pentru finisarea lucrărilor de amenajare a gunoiștii din s. Hrușova în cadrul proiectului transfrontalier „Managementul </w:t>
      </w:r>
      <w:r w:rsidR="007940D9" w:rsidRPr="007940D9">
        <w:t>deșeurilor</w:t>
      </w:r>
      <w:r w:rsidRPr="007940D9">
        <w:t xml:space="preserve"> solide”. În perioada de raportare lucrările preconizate n-au </w:t>
      </w:r>
      <w:r w:rsidR="00BF4D19" w:rsidRPr="007940D9">
        <w:t>demarat</w:t>
      </w:r>
      <w:r w:rsidRPr="007940D9">
        <w:t xml:space="preserve">, respectiv și finanțări n-au fost efectuate. </w:t>
      </w:r>
    </w:p>
    <w:p w:rsidR="008257BF" w:rsidRPr="007940D9" w:rsidRDefault="008257BF" w:rsidP="001554E7">
      <w:pPr>
        <w:tabs>
          <w:tab w:val="left" w:pos="426"/>
          <w:tab w:val="left" w:pos="1170"/>
        </w:tabs>
        <w:jc w:val="both"/>
      </w:pPr>
      <w:r w:rsidRPr="007940D9">
        <w:tab/>
        <w:t xml:space="preserve"> La compartimentul </w:t>
      </w:r>
      <w:r w:rsidRPr="007940D9">
        <w:rPr>
          <w:b/>
        </w:rPr>
        <w:t xml:space="preserve">„Gospodăria de </w:t>
      </w:r>
      <w:r w:rsidR="007940D9" w:rsidRPr="007940D9">
        <w:rPr>
          <w:b/>
        </w:rPr>
        <w:t>locuințe</w:t>
      </w:r>
      <w:r w:rsidRPr="007940D9">
        <w:rPr>
          <w:b/>
        </w:rPr>
        <w:t xml:space="preserve"> şi gospodăria serviciilor comunale</w:t>
      </w:r>
      <w:r w:rsidRPr="007940D9">
        <w:t xml:space="preserve">”, alocațiile fiind aprobate în sumă de </w:t>
      </w:r>
      <w:r w:rsidR="000A7691" w:rsidRPr="007940D9">
        <w:t>200,0</w:t>
      </w:r>
      <w:r w:rsidRPr="007940D9">
        <w:t xml:space="preserve"> mii lei, au fost precizate în volum de </w:t>
      </w:r>
      <w:r w:rsidR="000A7691" w:rsidRPr="007940D9">
        <w:t>850,0</w:t>
      </w:r>
      <w:r w:rsidRPr="007940D9">
        <w:t xml:space="preserve"> mii lei și executate în sumă de </w:t>
      </w:r>
      <w:r w:rsidR="000A7691" w:rsidRPr="007940D9">
        <w:t>151,7</w:t>
      </w:r>
      <w:r w:rsidRPr="007940D9">
        <w:t xml:space="preserve"> mii lei, sau la nivel de </w:t>
      </w:r>
      <w:r w:rsidR="000A7691" w:rsidRPr="007940D9">
        <w:t>17,9</w:t>
      </w:r>
      <w:r w:rsidRPr="007940D9">
        <w:t xml:space="preserve"> la sută. </w:t>
      </w:r>
      <w:r w:rsidR="000A7691" w:rsidRPr="007940D9">
        <w:t>La</w:t>
      </w:r>
      <w:r w:rsidRPr="007940D9">
        <w:t xml:space="preserve"> grupa nominalizată </w:t>
      </w:r>
      <w:r w:rsidR="000A7691" w:rsidRPr="007940D9">
        <w:t xml:space="preserve">se atribuie </w:t>
      </w:r>
      <w:r w:rsidR="007940D9">
        <w:t>proiectul de investiție „</w:t>
      </w:r>
      <w:r w:rsidRPr="007940D9">
        <w:t>Evacuarea apelor reziduale la stația de epurare din s. Onițcani, r-</w:t>
      </w:r>
      <w:r w:rsidR="007940D9">
        <w:t>l</w:t>
      </w:r>
      <w:r w:rsidRPr="007940D9">
        <w:t xml:space="preserve"> Criuleni”, fiind executate</w:t>
      </w:r>
      <w:r w:rsidR="002532B8" w:rsidRPr="007940D9">
        <w:t xml:space="preserve"> alocații bugetare</w:t>
      </w:r>
      <w:r w:rsidRPr="007940D9">
        <w:t xml:space="preserve"> în sumă de </w:t>
      </w:r>
      <w:r w:rsidR="002532B8" w:rsidRPr="007940D9">
        <w:t>101,7</w:t>
      </w:r>
      <w:r w:rsidRPr="007940D9">
        <w:t xml:space="preserve"> mii lei pentru achitarea serviciilor de depozitare a utilajului. </w:t>
      </w:r>
      <w:r w:rsidR="002532B8" w:rsidRPr="007940D9">
        <w:t>Suma alocațiilor precizate include și</w:t>
      </w:r>
      <w:r w:rsidRPr="007940D9">
        <w:t xml:space="preserve"> transferurile acordate autorităților publice locale de nivelul I din raion - suport financiar pentru achitarea contribuției la implemen</w:t>
      </w:r>
      <w:r w:rsidR="00BF4D19" w:rsidRPr="007940D9">
        <w:t>tarea proiectelor de investiție, alte lucrări ce țin de îmbunătățirea infrastructurii localităților rurale.</w:t>
      </w:r>
      <w:r w:rsidRPr="007940D9">
        <w:t xml:space="preserve">  </w:t>
      </w:r>
    </w:p>
    <w:p w:rsidR="008257BF" w:rsidRPr="007940D9" w:rsidRDefault="008257BF" w:rsidP="001554E7">
      <w:pPr>
        <w:tabs>
          <w:tab w:val="left" w:pos="426"/>
          <w:tab w:val="left" w:pos="1170"/>
        </w:tabs>
        <w:jc w:val="both"/>
      </w:pPr>
      <w:r w:rsidRPr="007940D9">
        <w:tab/>
        <w:t xml:space="preserve">La grupa de cheltuieli </w:t>
      </w:r>
      <w:r w:rsidRPr="007940D9">
        <w:rPr>
          <w:b/>
        </w:rPr>
        <w:t>„Ocrotirea sănătății”,</w:t>
      </w:r>
      <w:r w:rsidRPr="007940D9">
        <w:t xml:space="preserve"> în </w:t>
      </w:r>
      <w:r w:rsidR="007940D9" w:rsidRPr="007940D9">
        <w:t>condițiile</w:t>
      </w:r>
      <w:r w:rsidRPr="007940D9">
        <w:t xml:space="preserve"> </w:t>
      </w:r>
      <w:r w:rsidR="007940D9" w:rsidRPr="007940D9">
        <w:t>legislației</w:t>
      </w:r>
      <w:r w:rsidRPr="007940D9">
        <w:t xml:space="preserve"> în vigoare, Consiliul raional fiind fondator al </w:t>
      </w:r>
      <w:r w:rsidR="007940D9" w:rsidRPr="007940D9">
        <w:t>instituțiilor</w:t>
      </w:r>
      <w:r w:rsidRPr="007940D9">
        <w:t xml:space="preserve"> medico-sanitare publice, în perioada de raportare în limita alocațiilor precizate </w:t>
      </w:r>
      <w:r w:rsidR="00FC7623" w:rsidRPr="007940D9">
        <w:t>prin</w:t>
      </w:r>
      <w:r w:rsidRPr="007940D9">
        <w:t xml:space="preserve"> subsidii </w:t>
      </w:r>
      <w:r w:rsidR="00B126DF" w:rsidRPr="007940D9">
        <w:t>în sumă</w:t>
      </w:r>
      <w:r w:rsidRPr="007940D9">
        <w:t xml:space="preserve"> de </w:t>
      </w:r>
      <w:r w:rsidR="002532B8" w:rsidRPr="007940D9">
        <w:t>6455,3</w:t>
      </w:r>
      <w:r w:rsidRPr="007940D9">
        <w:t xml:space="preserve"> mii lei, au fost </w:t>
      </w:r>
      <w:r w:rsidR="00FC7623" w:rsidRPr="007940D9">
        <w:t>finanțate</w:t>
      </w:r>
      <w:r w:rsidRPr="007940D9">
        <w:t xml:space="preserve"> cheltuieli în </w:t>
      </w:r>
      <w:r w:rsidR="00B126DF" w:rsidRPr="007940D9">
        <w:t>volum</w:t>
      </w:r>
      <w:r w:rsidRPr="007940D9">
        <w:t xml:space="preserve"> de </w:t>
      </w:r>
      <w:r w:rsidR="002532B8" w:rsidRPr="007940D9">
        <w:t>2357,1</w:t>
      </w:r>
      <w:r w:rsidRPr="007940D9">
        <w:t xml:space="preserve"> mii lei,  sau la nivel de </w:t>
      </w:r>
      <w:r w:rsidR="002532B8" w:rsidRPr="007940D9">
        <w:t>36,5</w:t>
      </w:r>
      <w:r w:rsidRPr="007940D9">
        <w:t xml:space="preserve"> la sută.</w:t>
      </w:r>
      <w:r w:rsidR="00FC7623" w:rsidRPr="007940D9">
        <w:t xml:space="preserve"> Suma menționată </w:t>
      </w:r>
      <w:r w:rsidR="002532B8" w:rsidRPr="007940D9">
        <w:t>s-a diminuat comparativ cu perioada respectivă 2019</w:t>
      </w:r>
      <w:r w:rsidR="00FC7623" w:rsidRPr="007940D9">
        <w:t xml:space="preserve"> cu </w:t>
      </w:r>
      <w:r w:rsidR="002532B8" w:rsidRPr="007940D9">
        <w:t>2429,8</w:t>
      </w:r>
      <w:r w:rsidR="00FC7623" w:rsidRPr="007940D9">
        <w:t xml:space="preserve"> mii lei</w:t>
      </w:r>
      <w:r w:rsidR="00B126DF" w:rsidRPr="007940D9">
        <w:t>.</w:t>
      </w:r>
    </w:p>
    <w:p w:rsidR="008257BF" w:rsidRPr="007940D9" w:rsidRDefault="008257BF" w:rsidP="001554E7">
      <w:pPr>
        <w:tabs>
          <w:tab w:val="left" w:pos="426"/>
          <w:tab w:val="left" w:pos="1170"/>
        </w:tabs>
        <w:jc w:val="both"/>
      </w:pPr>
      <w:r w:rsidRPr="007940D9">
        <w:tab/>
        <w:t xml:space="preserve">Alocațiile precizate au fost </w:t>
      </w:r>
      <w:r w:rsidR="002532B8" w:rsidRPr="007940D9">
        <w:t>planificate</w:t>
      </w:r>
      <w:r w:rsidRPr="007940D9">
        <w:t xml:space="preserve"> la programele:</w:t>
      </w:r>
    </w:p>
    <w:p w:rsidR="008257BF" w:rsidRPr="007940D9" w:rsidRDefault="007940D9" w:rsidP="001554E7">
      <w:pPr>
        <w:pStyle w:val="Listparagraf"/>
        <w:numPr>
          <w:ilvl w:val="0"/>
          <w:numId w:val="16"/>
        </w:numPr>
        <w:tabs>
          <w:tab w:val="left" w:pos="426"/>
        </w:tabs>
        <w:ind w:left="0" w:firstLine="0"/>
        <w:jc w:val="both"/>
      </w:pPr>
      <w:r>
        <w:t>„</w:t>
      </w:r>
      <w:r w:rsidR="008257BF" w:rsidRPr="007940D9">
        <w:t xml:space="preserve">Dezvoltarea și modernizarea instituțiilor în domeniul ocrotirii sănătății ” - </w:t>
      </w:r>
      <w:r w:rsidR="006A30BA" w:rsidRPr="007940D9">
        <w:t xml:space="preserve">suma precizată în volum de </w:t>
      </w:r>
      <w:r w:rsidR="002532B8" w:rsidRPr="007940D9">
        <w:t>5650,4</w:t>
      </w:r>
      <w:r w:rsidR="006A30BA" w:rsidRPr="007940D9">
        <w:t xml:space="preserve"> mii lei, fiind destinată</w:t>
      </w:r>
      <w:r w:rsidR="008257BF" w:rsidRPr="007940D9">
        <w:t xml:space="preserve"> pentru consolidarea bazei tehnico-materiale a instituțiilor menționate, </w:t>
      </w:r>
      <w:r w:rsidR="006A30BA" w:rsidRPr="007940D9">
        <w:t>au fost</w:t>
      </w:r>
      <w:r w:rsidR="008257BF" w:rsidRPr="007940D9">
        <w:t xml:space="preserve"> finanțate </w:t>
      </w:r>
      <w:r w:rsidR="002532B8" w:rsidRPr="007940D9">
        <w:t>1829,2</w:t>
      </w:r>
      <w:r w:rsidR="008257BF" w:rsidRPr="007940D9">
        <w:t xml:space="preserve"> mii lei, sau la nivel de </w:t>
      </w:r>
      <w:r w:rsidR="002532B8" w:rsidRPr="007940D9">
        <w:t>32,4</w:t>
      </w:r>
      <w:r w:rsidR="008257BF" w:rsidRPr="007940D9">
        <w:t xml:space="preserve"> la sută. </w:t>
      </w:r>
      <w:r w:rsidR="00F0383C" w:rsidRPr="007940D9">
        <w:t>Suma menționată s-a redus comparativ cu perioada similară 2019 cu 2791,1 mii lei, sau la nivel de 40,0 la sută.</w:t>
      </w:r>
    </w:p>
    <w:p w:rsidR="008257BF" w:rsidRPr="007940D9" w:rsidRDefault="007940D9" w:rsidP="001554E7">
      <w:pPr>
        <w:pStyle w:val="Listparagraf"/>
        <w:numPr>
          <w:ilvl w:val="0"/>
          <w:numId w:val="16"/>
        </w:numPr>
        <w:tabs>
          <w:tab w:val="left" w:pos="426"/>
        </w:tabs>
        <w:ind w:left="0" w:firstLine="0"/>
        <w:jc w:val="both"/>
      </w:pPr>
      <w:r>
        <w:t>„</w:t>
      </w:r>
      <w:r w:rsidR="008257BF" w:rsidRPr="007940D9">
        <w:t xml:space="preserve">Programe naționale și speciale în domeniul ocrotirii sănătății” - </w:t>
      </w:r>
      <w:r w:rsidR="00F0383C" w:rsidRPr="007940D9">
        <w:t>cu suma precizată</w:t>
      </w:r>
      <w:r w:rsidR="0036225A" w:rsidRPr="007940D9">
        <w:t xml:space="preserve"> de </w:t>
      </w:r>
      <w:r w:rsidR="00F0383C" w:rsidRPr="007940D9">
        <w:t>805,0</w:t>
      </w:r>
      <w:r w:rsidR="0036225A" w:rsidRPr="007940D9">
        <w:t xml:space="preserve"> mii lei</w:t>
      </w:r>
      <w:r w:rsidR="008257BF" w:rsidRPr="007940D9">
        <w:t xml:space="preserve"> </w:t>
      </w:r>
      <w:r w:rsidR="0036225A" w:rsidRPr="007940D9">
        <w:t>fiind destinată</w:t>
      </w:r>
      <w:r w:rsidR="008257BF" w:rsidRPr="007940D9">
        <w:t xml:space="preserve"> pentru  procurarea amestecurilor adaptate,</w:t>
      </w:r>
      <w:r w:rsidR="00F0383C" w:rsidRPr="007940D9">
        <w:t xml:space="preserve"> susținerea bolnavilor de diabet </w:t>
      </w:r>
      <w:proofErr w:type="spellStart"/>
      <w:r w:rsidR="00F0383C" w:rsidRPr="007940D9">
        <w:t>saharat</w:t>
      </w:r>
      <w:proofErr w:type="spellEnd"/>
      <w:r w:rsidR="00F0383C" w:rsidRPr="007940D9">
        <w:t>, precum și pentru finanțarea măsurilor de profilaxie în situația de pandemie COVID-19</w:t>
      </w:r>
      <w:r w:rsidR="008257BF" w:rsidRPr="007940D9">
        <w:t xml:space="preserve"> </w:t>
      </w:r>
      <w:r w:rsidR="0036225A" w:rsidRPr="007940D9">
        <w:t>au fost</w:t>
      </w:r>
      <w:r w:rsidR="008257BF" w:rsidRPr="007940D9">
        <w:t xml:space="preserve"> achitate </w:t>
      </w:r>
      <w:r w:rsidR="00F0383C" w:rsidRPr="007940D9">
        <w:t>procurări</w:t>
      </w:r>
      <w:r w:rsidR="0036225A" w:rsidRPr="007940D9">
        <w:t xml:space="preserve"> </w:t>
      </w:r>
      <w:r w:rsidR="008257BF" w:rsidRPr="007940D9">
        <w:t xml:space="preserve">în sumă de </w:t>
      </w:r>
      <w:r w:rsidR="00F0383C" w:rsidRPr="007940D9">
        <w:t>528,0</w:t>
      </w:r>
      <w:r w:rsidR="008257BF" w:rsidRPr="007940D9">
        <w:t xml:space="preserve"> mii lei, sau la nivel de </w:t>
      </w:r>
      <w:r w:rsidR="00F0383C" w:rsidRPr="007940D9">
        <w:t>65,6</w:t>
      </w:r>
      <w:r w:rsidR="008257BF" w:rsidRPr="007940D9">
        <w:t xml:space="preserve"> la sută. </w:t>
      </w:r>
    </w:p>
    <w:p w:rsidR="008257BF" w:rsidRPr="007940D9" w:rsidRDefault="008257BF" w:rsidP="001554E7">
      <w:pPr>
        <w:tabs>
          <w:tab w:val="left" w:pos="426"/>
        </w:tabs>
        <w:jc w:val="both"/>
      </w:pPr>
      <w:r w:rsidRPr="007940D9">
        <w:tab/>
      </w:r>
      <w:r w:rsidRPr="007940D9">
        <w:tab/>
        <w:t xml:space="preserve">La grupa de cheltuieli </w:t>
      </w:r>
      <w:r w:rsidRPr="007940D9">
        <w:rPr>
          <w:b/>
        </w:rPr>
        <w:t>„Cultură, sport, tineret, culte şi odihnă”</w:t>
      </w:r>
      <w:r w:rsidRPr="007940D9">
        <w:t xml:space="preserve">, alocațiile anuale fiind precizate </w:t>
      </w:r>
      <w:r w:rsidR="0069715E" w:rsidRPr="007940D9">
        <w:t xml:space="preserve">în sumă de </w:t>
      </w:r>
      <w:r w:rsidR="00F0383C" w:rsidRPr="007940D9">
        <w:t>11265,8</w:t>
      </w:r>
      <w:r w:rsidRPr="007940D9">
        <w:t xml:space="preserve"> mii lei, au fost executate în sumă de </w:t>
      </w:r>
      <w:r w:rsidR="00F0383C" w:rsidRPr="007940D9">
        <w:t>3204,4</w:t>
      </w:r>
      <w:r w:rsidRPr="007940D9">
        <w:t xml:space="preserve"> mii lei, sau la nivel de </w:t>
      </w:r>
      <w:r w:rsidR="00F0383C" w:rsidRPr="007940D9">
        <w:t>28,4</w:t>
      </w:r>
      <w:r w:rsidR="0069715E" w:rsidRPr="007940D9">
        <w:t xml:space="preserve"> la sută.</w:t>
      </w:r>
    </w:p>
    <w:p w:rsidR="00C52372" w:rsidRPr="007940D9" w:rsidRDefault="00C52372" w:rsidP="001554E7">
      <w:pPr>
        <w:tabs>
          <w:tab w:val="left" w:pos="426"/>
        </w:tabs>
        <w:jc w:val="both"/>
      </w:pPr>
      <w:r w:rsidRPr="007940D9">
        <w:tab/>
        <w:t>La grupa nominalizată cea mai mare pondere revine subgrupelor:</w:t>
      </w:r>
    </w:p>
    <w:p w:rsidR="00C52372" w:rsidRPr="007940D9" w:rsidRDefault="00C52372" w:rsidP="001554E7">
      <w:pPr>
        <w:pStyle w:val="Listparagraf"/>
        <w:numPr>
          <w:ilvl w:val="0"/>
          <w:numId w:val="1"/>
        </w:numPr>
        <w:tabs>
          <w:tab w:val="left" w:pos="426"/>
        </w:tabs>
        <w:ind w:left="0" w:firstLine="0"/>
        <w:jc w:val="both"/>
      </w:pPr>
      <w:r w:rsidRPr="007940D9">
        <w:t>Servicii de sport și cultură fizi</w:t>
      </w:r>
      <w:r w:rsidR="007940D9">
        <w:t>că, în cadrul căreia activează Ș</w:t>
      </w:r>
      <w:r w:rsidRPr="007940D9">
        <w:t>coala sportivă din or.</w:t>
      </w:r>
      <w:r w:rsidR="007940D9">
        <w:t xml:space="preserve"> </w:t>
      </w:r>
      <w:r w:rsidRPr="007940D9">
        <w:t xml:space="preserve">Criuleni, </w:t>
      </w:r>
      <w:r w:rsidR="007940D9">
        <w:t>S</w:t>
      </w:r>
      <w:r w:rsidRPr="007940D9">
        <w:t xml:space="preserve">tadionul raional cu bugetul precizat în sumă de </w:t>
      </w:r>
      <w:r w:rsidR="00F0383C" w:rsidRPr="007940D9">
        <w:t>4526,2</w:t>
      </w:r>
      <w:r w:rsidRPr="007940D9">
        <w:t xml:space="preserve"> </w:t>
      </w:r>
      <w:r w:rsidR="006616CE" w:rsidRPr="007940D9">
        <w:t xml:space="preserve">mii lei, alocațiile bugetare au fost executate în sumă de </w:t>
      </w:r>
      <w:r w:rsidR="00F0383C" w:rsidRPr="007940D9">
        <w:t>1457,5</w:t>
      </w:r>
      <w:r w:rsidR="006616CE" w:rsidRPr="007940D9">
        <w:t xml:space="preserve">, sau la nivel de </w:t>
      </w:r>
      <w:r w:rsidR="00F0383C" w:rsidRPr="007940D9">
        <w:t>32,2</w:t>
      </w:r>
      <w:r w:rsidR="006616CE" w:rsidRPr="007940D9">
        <w:t xml:space="preserve"> la sută;</w:t>
      </w:r>
    </w:p>
    <w:p w:rsidR="006616CE" w:rsidRPr="007940D9" w:rsidRDefault="006616CE" w:rsidP="001554E7">
      <w:pPr>
        <w:pStyle w:val="Listparagraf"/>
        <w:numPr>
          <w:ilvl w:val="0"/>
          <w:numId w:val="1"/>
        </w:numPr>
        <w:tabs>
          <w:tab w:val="left" w:pos="426"/>
        </w:tabs>
        <w:ind w:left="0" w:firstLine="0"/>
        <w:jc w:val="both"/>
      </w:pPr>
      <w:r w:rsidRPr="007940D9">
        <w:t>Ser</w:t>
      </w:r>
      <w:r w:rsidR="00F96E27" w:rsidRPr="007940D9">
        <w:t>vicii în domeniul culturii, ce</w:t>
      </w:r>
      <w:r w:rsidRPr="007940D9">
        <w:t xml:space="preserve"> ține de activitatea Centrului de Cultură și Turism </w:t>
      </w:r>
      <w:r w:rsidR="007940D9">
        <w:t>„</w:t>
      </w:r>
      <w:r w:rsidRPr="007940D9">
        <w:t>Grigore Sîrbu”</w:t>
      </w:r>
      <w:r w:rsidR="00F96E27" w:rsidRPr="007940D9">
        <w:t xml:space="preserve"> cu bugetul precizat în sumă de </w:t>
      </w:r>
      <w:r w:rsidR="00D02534" w:rsidRPr="007940D9">
        <w:t>3086,6</w:t>
      </w:r>
      <w:r w:rsidR="00F96E27" w:rsidRPr="007940D9">
        <w:t xml:space="preserve"> mii lei, alocațiile au fost executate în sumă de </w:t>
      </w:r>
      <w:r w:rsidR="00D02534" w:rsidRPr="007940D9">
        <w:t>899,1</w:t>
      </w:r>
      <w:r w:rsidR="00F96E27" w:rsidRPr="007940D9">
        <w:t xml:space="preserve"> mii lei, sau la nivel de </w:t>
      </w:r>
      <w:r w:rsidR="00D02534" w:rsidRPr="007940D9">
        <w:t>29,1</w:t>
      </w:r>
      <w:r w:rsidR="00F96E27" w:rsidRPr="007940D9">
        <w:t xml:space="preserve"> la sută;</w:t>
      </w:r>
    </w:p>
    <w:p w:rsidR="00F96E27" w:rsidRPr="007940D9" w:rsidRDefault="00F96E27" w:rsidP="001554E7">
      <w:pPr>
        <w:pStyle w:val="Listparagraf"/>
        <w:numPr>
          <w:ilvl w:val="0"/>
          <w:numId w:val="1"/>
        </w:numPr>
        <w:tabs>
          <w:tab w:val="left" w:pos="426"/>
        </w:tabs>
        <w:ind w:left="0" w:firstLine="0"/>
        <w:jc w:val="both"/>
      </w:pPr>
      <w:r w:rsidRPr="007940D9">
        <w:t>Servicii pentru tineret, ce ține de activi</w:t>
      </w:r>
      <w:r w:rsidR="007940D9">
        <w:t>tatea Centrului pentru Tineret „</w:t>
      </w:r>
      <w:r w:rsidRPr="007940D9">
        <w:t>UNIT”</w:t>
      </w:r>
      <w:r w:rsidR="00B74CF7" w:rsidRPr="007940D9">
        <w:t>, alte activități pent</w:t>
      </w:r>
      <w:r w:rsidR="00097EA1" w:rsidRPr="007940D9">
        <w:t>ru tineret, alocațiile bugetare,</w:t>
      </w:r>
      <w:r w:rsidR="00B74CF7" w:rsidRPr="007940D9">
        <w:t xml:space="preserve"> fiind precizate în volum de </w:t>
      </w:r>
      <w:r w:rsidR="00D02534" w:rsidRPr="007940D9">
        <w:t>2861,5</w:t>
      </w:r>
      <w:r w:rsidR="00B74CF7" w:rsidRPr="007940D9">
        <w:t xml:space="preserve"> mii lei, au fost executate în sumă de </w:t>
      </w:r>
      <w:r w:rsidR="00D02534" w:rsidRPr="007940D9">
        <w:t>590,9</w:t>
      </w:r>
      <w:r w:rsidR="00B74CF7" w:rsidRPr="007940D9">
        <w:t xml:space="preserve"> mii lei, sau la nivel de </w:t>
      </w:r>
      <w:r w:rsidR="00D02534" w:rsidRPr="007940D9">
        <w:t>20,7</w:t>
      </w:r>
      <w:r w:rsidR="00B74CF7" w:rsidRPr="007940D9">
        <w:t xml:space="preserve"> la sută.</w:t>
      </w:r>
    </w:p>
    <w:p w:rsidR="008257BF" w:rsidRPr="007940D9" w:rsidRDefault="008257BF" w:rsidP="001554E7">
      <w:pPr>
        <w:tabs>
          <w:tab w:val="left" w:pos="426"/>
        </w:tabs>
        <w:jc w:val="both"/>
      </w:pPr>
      <w:r w:rsidRPr="007940D9">
        <w:tab/>
        <w:t xml:space="preserve">Totodată, </w:t>
      </w:r>
      <w:r w:rsidR="00B74CF7" w:rsidRPr="007940D9">
        <w:t xml:space="preserve">finanțările executate la grupa menționată </w:t>
      </w:r>
      <w:r w:rsidRPr="007940D9">
        <w:t xml:space="preserve">în </w:t>
      </w:r>
      <w:r w:rsidR="00C52372" w:rsidRPr="007940D9">
        <w:t xml:space="preserve">perioada </w:t>
      </w:r>
      <w:r w:rsidR="00D02534" w:rsidRPr="007940D9">
        <w:t>de raportare</w:t>
      </w:r>
      <w:r w:rsidRPr="007940D9">
        <w:t xml:space="preserve"> </w:t>
      </w:r>
      <w:r w:rsidR="00C52372" w:rsidRPr="007940D9">
        <w:t xml:space="preserve">s-au diminuat </w:t>
      </w:r>
      <w:r w:rsidRPr="007940D9">
        <w:t xml:space="preserve"> cu </w:t>
      </w:r>
      <w:r w:rsidR="00D02534" w:rsidRPr="007940D9">
        <w:t>547,4</w:t>
      </w:r>
      <w:r w:rsidRPr="007940D9">
        <w:t xml:space="preserve"> mii lei </w:t>
      </w:r>
      <w:r w:rsidR="00C52372" w:rsidRPr="007940D9">
        <w:t>comparativ cu</w:t>
      </w:r>
      <w:r w:rsidRPr="007940D9">
        <w:t xml:space="preserve"> perioada </w:t>
      </w:r>
      <w:r w:rsidR="00D02534" w:rsidRPr="007940D9">
        <w:t>similară</w:t>
      </w:r>
      <w:r w:rsidR="00C52372" w:rsidRPr="007940D9">
        <w:t xml:space="preserve"> 201</w:t>
      </w:r>
      <w:r w:rsidR="00D02534" w:rsidRPr="007940D9">
        <w:t>9</w:t>
      </w:r>
      <w:r w:rsidR="00C52372" w:rsidRPr="007940D9">
        <w:t>.</w:t>
      </w:r>
    </w:p>
    <w:p w:rsidR="008257BF" w:rsidRPr="007940D9" w:rsidRDefault="008257BF" w:rsidP="001554E7">
      <w:pPr>
        <w:tabs>
          <w:tab w:val="left" w:pos="426"/>
          <w:tab w:val="left" w:pos="1170"/>
        </w:tabs>
        <w:jc w:val="both"/>
      </w:pPr>
      <w:r w:rsidRPr="007940D9">
        <w:tab/>
        <w:t xml:space="preserve">Nivelul </w:t>
      </w:r>
      <w:r w:rsidR="00D02534" w:rsidRPr="007940D9">
        <w:t xml:space="preserve">scăzut </w:t>
      </w:r>
      <w:r w:rsidRPr="007940D9">
        <w:t>de executare a chel</w:t>
      </w:r>
      <w:r w:rsidR="00985132" w:rsidRPr="007940D9">
        <w:t xml:space="preserve">tuielilor a fost </w:t>
      </w:r>
      <w:r w:rsidR="007940D9" w:rsidRPr="007940D9">
        <w:t>influențat</w:t>
      </w:r>
      <w:r w:rsidRPr="007940D9">
        <w:t xml:space="preserve"> de finanțarea la capitolele :</w:t>
      </w:r>
    </w:p>
    <w:p w:rsidR="008257BF" w:rsidRPr="007940D9" w:rsidRDefault="008257BF" w:rsidP="001554E7">
      <w:pPr>
        <w:pStyle w:val="Listparagraf"/>
        <w:numPr>
          <w:ilvl w:val="0"/>
          <w:numId w:val="1"/>
        </w:numPr>
        <w:tabs>
          <w:tab w:val="left" w:pos="426"/>
          <w:tab w:val="left" w:pos="567"/>
        </w:tabs>
        <w:ind w:left="0" w:firstLine="0"/>
        <w:jc w:val="both"/>
      </w:pPr>
      <w:r w:rsidRPr="007940D9">
        <w:t xml:space="preserve">Servicii </w:t>
      </w:r>
      <w:r w:rsidR="00985132" w:rsidRPr="007940D9">
        <w:t>(</w:t>
      </w:r>
      <w:r w:rsidRPr="007940D9">
        <w:t>energetice și comunale</w:t>
      </w:r>
      <w:r w:rsidR="00985132" w:rsidRPr="007940D9">
        <w:t>, informaționale și de telecomunicații</w:t>
      </w:r>
      <w:r w:rsidR="00CF0C4F" w:rsidRPr="007940D9">
        <w:t>, de reparații curente etc.)</w:t>
      </w:r>
      <w:r w:rsidRPr="007940D9">
        <w:t xml:space="preserve">  – cu executare </w:t>
      </w:r>
      <w:r w:rsidR="002902E4" w:rsidRPr="007940D9">
        <w:t xml:space="preserve">în volum de 242,0 mii lei, sau la nivel de 8,2 </w:t>
      </w:r>
      <w:r w:rsidRPr="007940D9">
        <w:t>la sută</w:t>
      </w:r>
      <w:r w:rsidR="002902E4" w:rsidRPr="007940D9">
        <w:t xml:space="preserve"> din alocațiile precizate în sumă de 2939,9 mii lei</w:t>
      </w:r>
      <w:r w:rsidRPr="007940D9">
        <w:t>;</w:t>
      </w:r>
    </w:p>
    <w:p w:rsidR="008257BF" w:rsidRPr="007940D9" w:rsidRDefault="008257BF" w:rsidP="001554E7">
      <w:pPr>
        <w:pStyle w:val="Listparagraf"/>
        <w:numPr>
          <w:ilvl w:val="0"/>
          <w:numId w:val="1"/>
        </w:numPr>
        <w:tabs>
          <w:tab w:val="left" w:pos="426"/>
          <w:tab w:val="left" w:pos="567"/>
          <w:tab w:val="left" w:pos="851"/>
        </w:tabs>
        <w:ind w:left="0" w:firstLine="0"/>
        <w:jc w:val="both"/>
      </w:pPr>
      <w:r w:rsidRPr="007940D9">
        <w:lastRenderedPageBreak/>
        <w:t>Active nefinanciare</w:t>
      </w:r>
      <w:r w:rsidR="007940D9">
        <w:t xml:space="preserve"> (</w:t>
      </w:r>
      <w:r w:rsidR="00104755" w:rsidRPr="007940D9">
        <w:t>reparații capitale a clădirilor și construcțiilor speciale, procurarea utilajului, mobilierului, materialelor de uz gospodăresc ș.a.)</w:t>
      </w:r>
      <w:r w:rsidRPr="007940D9">
        <w:t xml:space="preserve"> – cu executare</w:t>
      </w:r>
      <w:r w:rsidR="007940D9">
        <w:t>a</w:t>
      </w:r>
      <w:r w:rsidRPr="007940D9">
        <w:t xml:space="preserve"> </w:t>
      </w:r>
      <w:r w:rsidR="00104755" w:rsidRPr="007940D9">
        <w:t>alocațiilor planificate în sumă de 159,5 mii lei din planul precizat de 1919,5</w:t>
      </w:r>
      <w:r w:rsidR="00213ABE" w:rsidRPr="007940D9">
        <w:t xml:space="preserve"> mii lei</w:t>
      </w:r>
      <w:r w:rsidR="00104755" w:rsidRPr="007940D9">
        <w:t xml:space="preserve">, sau </w:t>
      </w:r>
      <w:r w:rsidRPr="007940D9">
        <w:t xml:space="preserve">la nivel de </w:t>
      </w:r>
      <w:r w:rsidR="00104755" w:rsidRPr="007940D9">
        <w:t>8,3</w:t>
      </w:r>
      <w:r w:rsidRPr="007940D9">
        <w:t xml:space="preserve"> la sută.</w:t>
      </w:r>
    </w:p>
    <w:p w:rsidR="008257BF" w:rsidRPr="007940D9" w:rsidRDefault="008257BF" w:rsidP="001554E7">
      <w:pPr>
        <w:tabs>
          <w:tab w:val="left" w:pos="426"/>
          <w:tab w:val="left" w:pos="1170"/>
        </w:tabs>
        <w:jc w:val="both"/>
      </w:pPr>
      <w:r w:rsidRPr="007940D9">
        <w:tab/>
        <w:t xml:space="preserve">Volumul de cheltuieli la compartimentul </w:t>
      </w:r>
      <w:r w:rsidRPr="007940D9">
        <w:rPr>
          <w:b/>
        </w:rPr>
        <w:t>„</w:t>
      </w:r>
      <w:r w:rsidR="007940D9" w:rsidRPr="007940D9">
        <w:rPr>
          <w:b/>
        </w:rPr>
        <w:t>Învățământ</w:t>
      </w:r>
      <w:r w:rsidRPr="007940D9">
        <w:rPr>
          <w:b/>
        </w:rPr>
        <w:t>”,</w:t>
      </w:r>
      <w:r w:rsidRPr="007940D9">
        <w:t xml:space="preserve"> fiind precizat în sumă de </w:t>
      </w:r>
      <w:r w:rsidR="002902E4" w:rsidRPr="007940D9">
        <w:t>143333,8</w:t>
      </w:r>
      <w:r w:rsidRPr="007940D9">
        <w:t xml:space="preserve"> mii lei, au fost finanțate cheltuieli în volum de </w:t>
      </w:r>
      <w:r w:rsidR="00104755" w:rsidRPr="007940D9">
        <w:t>60636,6</w:t>
      </w:r>
      <w:r w:rsidRPr="007940D9">
        <w:t xml:space="preserve"> mii lei, sau la nivel de </w:t>
      </w:r>
      <w:r w:rsidR="00104755" w:rsidRPr="007940D9">
        <w:t>42,3</w:t>
      </w:r>
      <w:r w:rsidRPr="007940D9">
        <w:t xml:space="preserve"> la sută din alocațiile precizate. Din alocațiile bugetare executate,</w:t>
      </w:r>
      <w:r w:rsidR="00097EA1" w:rsidRPr="007940D9">
        <w:t xml:space="preserve"> suma de</w:t>
      </w:r>
      <w:r w:rsidRPr="007940D9">
        <w:t xml:space="preserve"> </w:t>
      </w:r>
      <w:r w:rsidR="00104755" w:rsidRPr="007940D9">
        <w:t>59198,5</w:t>
      </w:r>
      <w:r w:rsidRPr="007940D9">
        <w:t xml:space="preserve"> mii lei</w:t>
      </w:r>
      <w:r w:rsidR="006C5E46" w:rsidRPr="007940D9">
        <w:t xml:space="preserve">, sau </w:t>
      </w:r>
      <w:r w:rsidR="00104755" w:rsidRPr="007940D9">
        <w:t>97,6</w:t>
      </w:r>
      <w:r w:rsidR="006C5E46" w:rsidRPr="007940D9">
        <w:t xml:space="preserve"> %</w:t>
      </w:r>
      <w:r w:rsidRPr="007940D9">
        <w:t xml:space="preserve"> </w:t>
      </w:r>
      <w:r w:rsidR="00AA62EC" w:rsidRPr="007940D9">
        <w:t xml:space="preserve">constituie mijloace financiare </w:t>
      </w:r>
      <w:r w:rsidRPr="007940D9">
        <w:t>executate din contul transferurilor cu destinație specială de la bugetul de stat.</w:t>
      </w:r>
    </w:p>
    <w:p w:rsidR="008257BF" w:rsidRPr="007940D9" w:rsidRDefault="008257BF" w:rsidP="001554E7">
      <w:pPr>
        <w:tabs>
          <w:tab w:val="left" w:pos="426"/>
          <w:tab w:val="left" w:pos="1170"/>
        </w:tabs>
        <w:jc w:val="both"/>
      </w:pPr>
      <w:r w:rsidRPr="007940D9">
        <w:tab/>
        <w:t xml:space="preserve">Comparativ cu perioada </w:t>
      </w:r>
      <w:r w:rsidR="00104755" w:rsidRPr="007940D9">
        <w:t>similară a anului</w:t>
      </w:r>
      <w:r w:rsidRPr="007940D9">
        <w:t xml:space="preserve"> 201</w:t>
      </w:r>
      <w:r w:rsidR="00104755" w:rsidRPr="007940D9">
        <w:t>9</w:t>
      </w:r>
      <w:r w:rsidRPr="007940D9">
        <w:t xml:space="preserve">, în </w:t>
      </w:r>
      <w:r w:rsidR="00AA62EC" w:rsidRPr="007940D9">
        <w:t xml:space="preserve">anul </w:t>
      </w:r>
      <w:r w:rsidR="00104755" w:rsidRPr="007940D9">
        <w:t>curent</w:t>
      </w:r>
      <w:r w:rsidR="00AA62EC" w:rsidRPr="007940D9">
        <w:t xml:space="preserve"> </w:t>
      </w:r>
      <w:r w:rsidR="00DD5091" w:rsidRPr="007940D9">
        <w:t xml:space="preserve">la grupa menționată </w:t>
      </w:r>
      <w:r w:rsidR="00104755" w:rsidRPr="007940D9">
        <w:t>volumul alocațiilor</w:t>
      </w:r>
      <w:r w:rsidR="00AA62EC" w:rsidRPr="007940D9">
        <w:t xml:space="preserve"> finanțate s-a</w:t>
      </w:r>
      <w:r w:rsidR="00104755" w:rsidRPr="007940D9">
        <w:t xml:space="preserve"> diminuat cu </w:t>
      </w:r>
      <w:r w:rsidR="004B440F" w:rsidRPr="007940D9">
        <w:t>3968,2</w:t>
      </w:r>
      <w:r w:rsidR="00AA62EC" w:rsidRPr="007940D9">
        <w:t xml:space="preserve"> mii lei, sau la nivel de </w:t>
      </w:r>
      <w:r w:rsidR="004B440F" w:rsidRPr="007940D9">
        <w:t>93,9</w:t>
      </w:r>
      <w:r w:rsidRPr="007940D9">
        <w:t xml:space="preserve"> </w:t>
      </w:r>
      <w:r w:rsidR="00AA62EC" w:rsidRPr="007940D9">
        <w:t>la sută</w:t>
      </w:r>
      <w:r w:rsidRPr="007940D9">
        <w:t xml:space="preserve">. </w:t>
      </w:r>
    </w:p>
    <w:p w:rsidR="00AA62EC" w:rsidRPr="007940D9" w:rsidRDefault="00AA62EC" w:rsidP="001554E7">
      <w:pPr>
        <w:tabs>
          <w:tab w:val="left" w:pos="426"/>
          <w:tab w:val="left" w:pos="1170"/>
        </w:tabs>
        <w:jc w:val="both"/>
      </w:pPr>
      <w:r w:rsidRPr="007940D9">
        <w:tab/>
        <w:t xml:space="preserve">Nivelul de executare a cheltuielilor a fost </w:t>
      </w:r>
      <w:r w:rsidR="007940D9" w:rsidRPr="007940D9">
        <w:t>influențat</w:t>
      </w:r>
      <w:r w:rsidRPr="007940D9">
        <w:t xml:space="preserve"> de finanțarea la capitolele:</w:t>
      </w:r>
    </w:p>
    <w:p w:rsidR="008257BF" w:rsidRPr="007940D9" w:rsidRDefault="00DD5091" w:rsidP="001554E7">
      <w:pPr>
        <w:pStyle w:val="Listparagraf"/>
        <w:numPr>
          <w:ilvl w:val="0"/>
          <w:numId w:val="1"/>
        </w:numPr>
        <w:tabs>
          <w:tab w:val="left" w:pos="0"/>
          <w:tab w:val="left" w:pos="426"/>
        </w:tabs>
        <w:ind w:left="0" w:firstLine="0"/>
        <w:jc w:val="both"/>
      </w:pPr>
      <w:r w:rsidRPr="007940D9">
        <w:t>Servicii (energetice și comunale, informaționale și de telecomunicații, de reparații curente etc.)</w:t>
      </w:r>
      <w:r w:rsidR="008257BF" w:rsidRPr="007940D9">
        <w:t xml:space="preserve">– cu executare </w:t>
      </w:r>
      <w:r w:rsidR="004B440F" w:rsidRPr="007940D9">
        <w:t xml:space="preserve">în volum de 3207,7 mii lei din planul precizat de 17427,7, sau </w:t>
      </w:r>
      <w:r w:rsidR="008257BF" w:rsidRPr="007940D9">
        <w:t xml:space="preserve">la nivel de </w:t>
      </w:r>
      <w:r w:rsidR="004B440F" w:rsidRPr="007940D9">
        <w:t>18,4</w:t>
      </w:r>
      <w:r w:rsidR="008257BF" w:rsidRPr="007940D9">
        <w:t xml:space="preserve"> la sută;</w:t>
      </w:r>
    </w:p>
    <w:p w:rsidR="00DD5091" w:rsidRPr="007940D9" w:rsidRDefault="00DD5091" w:rsidP="001554E7">
      <w:pPr>
        <w:pStyle w:val="Listparagraf"/>
        <w:numPr>
          <w:ilvl w:val="0"/>
          <w:numId w:val="1"/>
        </w:numPr>
        <w:tabs>
          <w:tab w:val="left" w:pos="426"/>
          <w:tab w:val="left" w:pos="567"/>
          <w:tab w:val="left" w:pos="851"/>
        </w:tabs>
        <w:ind w:left="0" w:firstLine="0"/>
        <w:jc w:val="both"/>
      </w:pPr>
      <w:r w:rsidRPr="007940D9">
        <w:t>Mijloace fixe</w:t>
      </w:r>
      <w:r w:rsidR="00FA4708" w:rsidRPr="007940D9">
        <w:t xml:space="preserve"> </w:t>
      </w:r>
      <w:r w:rsidRPr="007940D9">
        <w:t xml:space="preserve">– cu executare </w:t>
      </w:r>
      <w:r w:rsidR="00FA4708" w:rsidRPr="007940D9">
        <w:t xml:space="preserve">în sumă de 762,1 mii lei din planul precizat de 6736,3 mii lei, sau </w:t>
      </w:r>
      <w:r w:rsidRPr="007940D9">
        <w:t xml:space="preserve">la nivel de </w:t>
      </w:r>
      <w:r w:rsidR="00FA4708" w:rsidRPr="007940D9">
        <w:t>11,3</w:t>
      </w:r>
      <w:r w:rsidRPr="007940D9">
        <w:t xml:space="preserve"> la sută, nefiind utilizate pe deplin alocațiile pentru </w:t>
      </w:r>
      <w:r w:rsidR="007940D9" w:rsidRPr="007940D9">
        <w:t>reparațiile</w:t>
      </w:r>
      <w:r w:rsidRPr="007940D9">
        <w:t xml:space="preserve"> capitale ale clădirilor și construcțiilor speciale, procurări de mijloace fixe.</w:t>
      </w:r>
    </w:p>
    <w:p w:rsidR="008257BF" w:rsidRPr="007940D9" w:rsidRDefault="007940D9" w:rsidP="001554E7">
      <w:pPr>
        <w:pStyle w:val="Listparagraf"/>
        <w:tabs>
          <w:tab w:val="left" w:pos="0"/>
          <w:tab w:val="left" w:pos="426"/>
          <w:tab w:val="left" w:pos="1170"/>
        </w:tabs>
        <w:ind w:left="0"/>
        <w:jc w:val="both"/>
      </w:pPr>
      <w:r>
        <w:tab/>
      </w:r>
      <w:r w:rsidR="008257BF" w:rsidRPr="007940D9">
        <w:t>Ponderea cea mai mare în structura cheltuielilor la grupa menționată revine categoriilor de cheltuieli:</w:t>
      </w:r>
    </w:p>
    <w:p w:rsidR="008257BF" w:rsidRPr="007940D9" w:rsidRDefault="007940D9" w:rsidP="001554E7">
      <w:pPr>
        <w:pStyle w:val="Listparagraf"/>
        <w:numPr>
          <w:ilvl w:val="0"/>
          <w:numId w:val="1"/>
        </w:numPr>
        <w:tabs>
          <w:tab w:val="left" w:pos="0"/>
          <w:tab w:val="left" w:pos="426"/>
        </w:tabs>
        <w:ind w:left="0" w:firstLine="0"/>
        <w:jc w:val="both"/>
      </w:pPr>
      <w:r>
        <w:t>„</w:t>
      </w:r>
      <w:r w:rsidR="00827428" w:rsidRPr="007940D9">
        <w:t>Cheltuieli</w:t>
      </w:r>
      <w:r w:rsidR="008257BF" w:rsidRPr="007940D9">
        <w:t xml:space="preserve"> de personal” cu suma de </w:t>
      </w:r>
      <w:r w:rsidR="00FA4708" w:rsidRPr="007940D9">
        <w:t>56706,0</w:t>
      </w:r>
      <w:r w:rsidR="008257BF" w:rsidRPr="007940D9">
        <w:t xml:space="preserve"> mii lei și constituie </w:t>
      </w:r>
      <w:r w:rsidR="00FA4708" w:rsidRPr="007940D9">
        <w:t>93,5</w:t>
      </w:r>
      <w:r w:rsidR="008257BF" w:rsidRPr="007940D9">
        <w:t xml:space="preserve"> la sută, </w:t>
      </w:r>
    </w:p>
    <w:p w:rsidR="008257BF" w:rsidRPr="007940D9" w:rsidRDefault="007940D9" w:rsidP="001554E7">
      <w:pPr>
        <w:pStyle w:val="Listparagraf"/>
        <w:numPr>
          <w:ilvl w:val="0"/>
          <w:numId w:val="1"/>
        </w:numPr>
        <w:tabs>
          <w:tab w:val="left" w:pos="0"/>
          <w:tab w:val="left" w:pos="426"/>
        </w:tabs>
        <w:ind w:left="0" w:firstLine="0"/>
        <w:jc w:val="both"/>
      </w:pPr>
      <w:r>
        <w:t>„</w:t>
      </w:r>
      <w:r w:rsidR="00FA4708" w:rsidRPr="007940D9">
        <w:t>Produse alimentare</w:t>
      </w:r>
      <w:r w:rsidR="008257BF" w:rsidRPr="007940D9">
        <w:t xml:space="preserve">” - cu suma de </w:t>
      </w:r>
      <w:r w:rsidR="00FA4708" w:rsidRPr="007940D9">
        <w:t>1560,6</w:t>
      </w:r>
      <w:r w:rsidR="004C5579" w:rsidRPr="007940D9">
        <w:t xml:space="preserve"> mii lei, sau </w:t>
      </w:r>
      <w:r w:rsidR="00FA4708" w:rsidRPr="007940D9">
        <w:t>2,6</w:t>
      </w:r>
      <w:r w:rsidR="008257BF" w:rsidRPr="007940D9">
        <w:t xml:space="preserve"> la sută.</w:t>
      </w:r>
    </w:p>
    <w:p w:rsidR="00FA4708" w:rsidRPr="007940D9" w:rsidRDefault="008257BF" w:rsidP="001554E7">
      <w:pPr>
        <w:tabs>
          <w:tab w:val="left" w:pos="426"/>
          <w:tab w:val="left" w:pos="1170"/>
        </w:tabs>
        <w:jc w:val="both"/>
      </w:pPr>
      <w:r w:rsidRPr="007940D9">
        <w:tab/>
      </w:r>
      <w:r w:rsidR="007940D9" w:rsidRPr="007940D9">
        <w:t>Finanțarea</w:t>
      </w:r>
      <w:r w:rsidRPr="007940D9">
        <w:t xml:space="preserve"> cheltuielilor </w:t>
      </w:r>
      <w:r w:rsidR="00612CD1" w:rsidRPr="007940D9">
        <w:t>la</w:t>
      </w:r>
      <w:r w:rsidRPr="007940D9">
        <w:t xml:space="preserve"> domeniul </w:t>
      </w:r>
      <w:r w:rsidRPr="007940D9">
        <w:rPr>
          <w:b/>
        </w:rPr>
        <w:t>„</w:t>
      </w:r>
      <w:r w:rsidR="007940D9" w:rsidRPr="007940D9">
        <w:rPr>
          <w:b/>
        </w:rPr>
        <w:t>Protecție</w:t>
      </w:r>
      <w:r w:rsidRPr="007940D9">
        <w:rPr>
          <w:b/>
        </w:rPr>
        <w:t xml:space="preserve"> socială”</w:t>
      </w:r>
      <w:r w:rsidRPr="007940D9">
        <w:t xml:space="preserve">, alocațiile fiind precizate în sumă de </w:t>
      </w:r>
      <w:r w:rsidR="00FA4708" w:rsidRPr="007940D9">
        <w:t>26586,2</w:t>
      </w:r>
      <w:r w:rsidRPr="007940D9">
        <w:t xml:space="preserve"> mii lei, au fost executate în sumă de </w:t>
      </w:r>
      <w:r w:rsidR="00FA4708" w:rsidRPr="007940D9">
        <w:t>9651,0</w:t>
      </w:r>
      <w:r w:rsidRPr="007940D9">
        <w:t xml:space="preserve"> mii lei, sau la nivel de </w:t>
      </w:r>
      <w:r w:rsidR="00FA4708" w:rsidRPr="007940D9">
        <w:t>36,3</w:t>
      </w:r>
      <w:r w:rsidRPr="007940D9">
        <w:t xml:space="preserve"> la sută. Din volumul </w:t>
      </w:r>
      <w:r w:rsidR="004C5579" w:rsidRPr="007940D9">
        <w:t xml:space="preserve">total al </w:t>
      </w:r>
      <w:r w:rsidRPr="007940D9">
        <w:t xml:space="preserve">mijloacelor financiare executate </w:t>
      </w:r>
      <w:r w:rsidR="004C5579" w:rsidRPr="007940D9">
        <w:t xml:space="preserve">suma de </w:t>
      </w:r>
      <w:r w:rsidR="00FA4708" w:rsidRPr="007940D9">
        <w:t>7898,0 mii lei, sau 81,8 la sută</w:t>
      </w:r>
      <w:r w:rsidR="004C5579" w:rsidRPr="007940D9">
        <w:t xml:space="preserve"> a fost finanțată</w:t>
      </w:r>
      <w:r w:rsidRPr="007940D9">
        <w:t xml:space="preserve"> din contul </w:t>
      </w:r>
      <w:r w:rsidR="00FA4708" w:rsidRPr="007940D9">
        <w:t>bugetului raional.</w:t>
      </w:r>
    </w:p>
    <w:p w:rsidR="008257BF" w:rsidRPr="007940D9" w:rsidRDefault="008257BF" w:rsidP="001554E7">
      <w:pPr>
        <w:tabs>
          <w:tab w:val="left" w:pos="426"/>
          <w:tab w:val="left" w:pos="1170"/>
        </w:tabs>
        <w:jc w:val="both"/>
      </w:pPr>
      <w:r w:rsidRPr="007940D9">
        <w:tab/>
        <w:t xml:space="preserve">Totodată, indicii executați în perioada de raportare au depășit cu </w:t>
      </w:r>
      <w:r w:rsidR="00213ABE" w:rsidRPr="007940D9">
        <w:t>365,5</w:t>
      </w:r>
      <w:r w:rsidRPr="007940D9">
        <w:t xml:space="preserve"> mii lei indicii realizați în perioada </w:t>
      </w:r>
      <w:r w:rsidR="00213ABE" w:rsidRPr="007940D9">
        <w:t>similară 2019</w:t>
      </w:r>
      <w:r w:rsidRPr="007940D9">
        <w:t>.</w:t>
      </w:r>
    </w:p>
    <w:p w:rsidR="008257BF" w:rsidRPr="007940D9" w:rsidRDefault="008257BF" w:rsidP="001554E7">
      <w:pPr>
        <w:tabs>
          <w:tab w:val="left" w:pos="426"/>
          <w:tab w:val="left" w:pos="1170"/>
        </w:tabs>
        <w:jc w:val="both"/>
      </w:pPr>
      <w:r w:rsidRPr="007940D9">
        <w:tab/>
        <w:t xml:space="preserve">Nivelul de executare a cheltuielilor la grupa menționată a fost </w:t>
      </w:r>
      <w:r w:rsidR="007940D9" w:rsidRPr="007940D9">
        <w:t>influențat</w:t>
      </w:r>
      <w:r w:rsidRPr="007940D9">
        <w:t xml:space="preserve"> de nivelul de executare a alocațiilor bugetare la articolele:</w:t>
      </w:r>
    </w:p>
    <w:p w:rsidR="008257BF" w:rsidRPr="007940D9" w:rsidRDefault="007940D9" w:rsidP="001554E7">
      <w:pPr>
        <w:pStyle w:val="Listparagraf"/>
        <w:numPr>
          <w:ilvl w:val="0"/>
          <w:numId w:val="1"/>
        </w:numPr>
        <w:tabs>
          <w:tab w:val="left" w:pos="284"/>
          <w:tab w:val="left" w:pos="426"/>
          <w:tab w:val="left" w:pos="567"/>
        </w:tabs>
        <w:ind w:left="0" w:firstLine="0"/>
        <w:jc w:val="both"/>
      </w:pPr>
      <w:r>
        <w:t>„</w:t>
      </w:r>
      <w:r w:rsidR="00213ABE" w:rsidRPr="007940D9">
        <w:t>Presta</w:t>
      </w:r>
      <w:r w:rsidR="00612CD1" w:rsidRPr="007940D9">
        <w:t>ții</w:t>
      </w:r>
      <w:r w:rsidR="008257BF" w:rsidRPr="007940D9">
        <w:t xml:space="preserve"> de asistență socială” – cu executarea </w:t>
      </w:r>
      <w:r w:rsidR="00213ABE" w:rsidRPr="007940D9">
        <w:t xml:space="preserve">în volum de 2162,3 mii lei, sau </w:t>
      </w:r>
      <w:r w:rsidR="008257BF" w:rsidRPr="007940D9">
        <w:t xml:space="preserve">la nivel de </w:t>
      </w:r>
      <w:r w:rsidR="00213ABE" w:rsidRPr="007940D9">
        <w:t>31,7</w:t>
      </w:r>
      <w:r w:rsidR="008257BF" w:rsidRPr="007940D9">
        <w:t xml:space="preserve"> la sută din volumul alocațiilor precizate în sumă de </w:t>
      </w:r>
      <w:r w:rsidR="00213ABE" w:rsidRPr="007940D9">
        <w:t>6820,9</w:t>
      </w:r>
      <w:r w:rsidR="008257BF" w:rsidRPr="007940D9">
        <w:t xml:space="preserve"> mii lei;</w:t>
      </w:r>
    </w:p>
    <w:p w:rsidR="00213ABE" w:rsidRPr="007940D9" w:rsidRDefault="00213ABE" w:rsidP="001554E7">
      <w:pPr>
        <w:pStyle w:val="Listparagraf"/>
        <w:numPr>
          <w:ilvl w:val="0"/>
          <w:numId w:val="1"/>
        </w:numPr>
        <w:tabs>
          <w:tab w:val="left" w:pos="426"/>
          <w:tab w:val="left" w:pos="567"/>
          <w:tab w:val="left" w:pos="851"/>
        </w:tabs>
        <w:ind w:left="0" w:firstLine="0"/>
        <w:jc w:val="both"/>
      </w:pPr>
      <w:r w:rsidRPr="007940D9">
        <w:t>Active nefinanciare (procurarea mașinilor și utilajelor, mobilierului, materialelor de uz gospodăresc, produselor alimentare ș.a.) – cu executare</w:t>
      </w:r>
      <w:r w:rsidR="00025FAB" w:rsidRPr="007940D9">
        <w:t>a</w:t>
      </w:r>
      <w:r w:rsidRPr="007940D9">
        <w:t xml:space="preserve"> alocațiilor planificate în sumă de 282,9 mii lei din planul precizat de 1299,5 mii lei sau la nivel de 21,8 la sută.</w:t>
      </w:r>
    </w:p>
    <w:p w:rsidR="008257BF" w:rsidRPr="007940D9" w:rsidRDefault="008257BF" w:rsidP="001554E7">
      <w:pPr>
        <w:pStyle w:val="Listparagraf"/>
        <w:tabs>
          <w:tab w:val="left" w:pos="284"/>
          <w:tab w:val="left" w:pos="426"/>
        </w:tabs>
        <w:ind w:left="0"/>
        <w:jc w:val="both"/>
      </w:pPr>
      <w:r w:rsidRPr="007940D9">
        <w:tab/>
        <w:t xml:space="preserve">Din suma transferurilor cu </w:t>
      </w:r>
      <w:r w:rsidR="007940D9" w:rsidRPr="007940D9">
        <w:t>destinație</w:t>
      </w:r>
      <w:r w:rsidRPr="007940D9">
        <w:t xml:space="preserve"> specială alocate de la bugetul de stat au fost finanțate următoarele servicii și măsuri:</w:t>
      </w:r>
    </w:p>
    <w:p w:rsidR="008A681B" w:rsidRPr="007940D9" w:rsidRDefault="008A681B" w:rsidP="001554E7">
      <w:pPr>
        <w:pStyle w:val="Listparagraf"/>
        <w:tabs>
          <w:tab w:val="left" w:pos="426"/>
        </w:tabs>
        <w:ind w:left="0"/>
        <w:jc w:val="both"/>
      </w:pPr>
      <w:r w:rsidRPr="007940D9">
        <w:t xml:space="preserve">- </w:t>
      </w:r>
      <w:r w:rsidR="007940D9" w:rsidRPr="007940D9">
        <w:t>compensațiile</w:t>
      </w:r>
      <w:r w:rsidRPr="007940D9">
        <w:t xml:space="preserve"> nominative pentru serviciile de transport şi compensarea cheltuielilor de deservire cu transport a persoanelor cu </w:t>
      </w:r>
      <w:r w:rsidR="000C18BF" w:rsidRPr="007940D9">
        <w:t>dizabilități</w:t>
      </w:r>
      <w:r w:rsidRPr="007940D9">
        <w:t xml:space="preserve"> a aparatului locomotor în total pentru </w:t>
      </w:r>
      <w:r w:rsidR="00025FAB" w:rsidRPr="007940D9">
        <w:t xml:space="preserve">2880 </w:t>
      </w:r>
      <w:r w:rsidRPr="007940D9">
        <w:t xml:space="preserve">beneficiari în sumă totală de </w:t>
      </w:r>
      <w:r w:rsidR="00025FAB" w:rsidRPr="007940D9">
        <w:t>571,5</w:t>
      </w:r>
      <w:r w:rsidRPr="007940D9">
        <w:t xml:space="preserve"> mii lei, sau la nivel de </w:t>
      </w:r>
      <w:r w:rsidR="00025FAB" w:rsidRPr="007940D9">
        <w:t>46,2</w:t>
      </w:r>
      <w:r w:rsidRPr="007940D9">
        <w:t xml:space="preserve"> la sută din suma alocațiilor precizate pentru anul 20</w:t>
      </w:r>
      <w:r w:rsidR="00025FAB" w:rsidRPr="007940D9">
        <w:t>20</w:t>
      </w:r>
      <w:r w:rsidRPr="007940D9">
        <w:t>. Indicele menționat a fost influențat de faptul, că s-a diminuat numărul persoanelor beneficiare de compensațiile nominalizate, din motivul neprezentării în termenii stabiliți a actelor (certificatelor) perfectate, schimbarea domiciliu în alt raion, decesului etc.</w:t>
      </w:r>
    </w:p>
    <w:p w:rsidR="008A681B" w:rsidRPr="007940D9" w:rsidRDefault="008A681B" w:rsidP="001554E7">
      <w:pPr>
        <w:pStyle w:val="Listparagraf"/>
        <w:tabs>
          <w:tab w:val="left" w:pos="426"/>
        </w:tabs>
        <w:ind w:left="0"/>
        <w:jc w:val="both"/>
      </w:pPr>
      <w:r w:rsidRPr="007940D9">
        <w:t xml:space="preserve">- întru susținerea copiilor rămași fără îngrijirea părintească, în perioada de raportare fiind înregistrați în mediu 110 persoane, au fost achitate îndemnizații în sumă de </w:t>
      </w:r>
      <w:r w:rsidR="00DC4EF9" w:rsidRPr="007940D9">
        <w:t>733,1</w:t>
      </w:r>
      <w:r w:rsidRPr="007940D9">
        <w:t xml:space="preserve"> mii lei, sau la nivel de </w:t>
      </w:r>
      <w:r w:rsidR="00F70E4E" w:rsidRPr="007940D9">
        <w:t>37,6</w:t>
      </w:r>
      <w:r w:rsidRPr="007940D9">
        <w:t xml:space="preserve"> la sută din alocațiile precizate, din motivul diminuării numărului de copii ca urmare a încadrării în instituțiil</w:t>
      </w:r>
      <w:r w:rsidR="00F70E4E" w:rsidRPr="007940D9">
        <w:t xml:space="preserve">e de </w:t>
      </w:r>
      <w:r w:rsidR="000C18BF" w:rsidRPr="007940D9">
        <w:t>învățământ</w:t>
      </w:r>
      <w:r w:rsidR="00F70E4E" w:rsidRPr="007940D9">
        <w:t xml:space="preserve"> postuniversitar</w:t>
      </w:r>
      <w:r w:rsidRPr="007940D9">
        <w:t>, schimbarea domiciliului în alt raion etc.,</w:t>
      </w:r>
    </w:p>
    <w:p w:rsidR="008A681B" w:rsidRPr="007940D9" w:rsidRDefault="008A681B" w:rsidP="001554E7">
      <w:pPr>
        <w:pStyle w:val="Listparagraf"/>
        <w:tabs>
          <w:tab w:val="left" w:pos="426"/>
        </w:tabs>
        <w:ind w:left="0"/>
        <w:jc w:val="both"/>
      </w:pPr>
      <w:r w:rsidRPr="007940D9">
        <w:t>- acordarea îndemnizațiilor zilnice pentru copiii plasați în serviciile sociale (plata îndemnizației zilnice) la un număr de</w:t>
      </w:r>
      <w:r w:rsidR="00DC4EF9" w:rsidRPr="007940D9">
        <w:t xml:space="preserve"> 47</w:t>
      </w:r>
      <w:r w:rsidRPr="007940D9">
        <w:t xml:space="preserve"> persoane, de la bugetul de stat fiind alocate mijloace în sumă de </w:t>
      </w:r>
      <w:r w:rsidR="00DC4EF9" w:rsidRPr="007940D9">
        <w:t>573,3</w:t>
      </w:r>
      <w:r w:rsidRPr="007940D9">
        <w:t xml:space="preserve"> mii lei, au fost achitate </w:t>
      </w:r>
      <w:r w:rsidR="00DC4EF9" w:rsidRPr="007940D9">
        <w:t>142,6 mii lei;</w:t>
      </w:r>
    </w:p>
    <w:p w:rsidR="008A681B" w:rsidRPr="007940D9" w:rsidRDefault="008A681B" w:rsidP="001554E7">
      <w:pPr>
        <w:pStyle w:val="Listparagraf"/>
        <w:tabs>
          <w:tab w:val="left" w:pos="426"/>
        </w:tabs>
        <w:ind w:left="0"/>
        <w:jc w:val="both"/>
      </w:pPr>
      <w:r w:rsidRPr="007940D9">
        <w:t xml:space="preserve">- compensarea cheltuielilor și </w:t>
      </w:r>
      <w:r w:rsidR="000C18BF" w:rsidRPr="007940D9">
        <w:t>îndemnizațiilor</w:t>
      </w:r>
      <w:r w:rsidRPr="007940D9">
        <w:t xml:space="preserve"> de asistenta sociala tinerilor </w:t>
      </w:r>
      <w:r w:rsidR="000C18BF" w:rsidRPr="007940D9">
        <w:t>specialiști</w:t>
      </w:r>
      <w:r w:rsidRPr="007940D9">
        <w:t xml:space="preserve"> (</w:t>
      </w:r>
      <w:r w:rsidR="000C18BF" w:rsidRPr="007940D9">
        <w:t>angajați</w:t>
      </w:r>
      <w:r w:rsidRPr="007940D9">
        <w:t xml:space="preserve"> în </w:t>
      </w:r>
      <w:r w:rsidR="000C18BF" w:rsidRPr="007940D9">
        <w:t>instituțiile</w:t>
      </w:r>
      <w:r w:rsidRPr="007940D9">
        <w:t xml:space="preserve"> de </w:t>
      </w:r>
      <w:r w:rsidR="000C18BF" w:rsidRPr="007940D9">
        <w:t>învățământ</w:t>
      </w:r>
      <w:r w:rsidR="00F70E4E" w:rsidRPr="007940D9">
        <w:t xml:space="preserve"> din raion în număr de </w:t>
      </w:r>
      <w:r w:rsidRPr="007940D9">
        <w:t xml:space="preserve">8 persoane) în sumă de </w:t>
      </w:r>
      <w:r w:rsidR="00F70E4E" w:rsidRPr="007940D9">
        <w:t>31,1</w:t>
      </w:r>
      <w:r w:rsidRPr="007940D9">
        <w:t xml:space="preserve"> mii lei din suma aprobată de </w:t>
      </w:r>
      <w:r w:rsidR="00F70E4E" w:rsidRPr="007940D9">
        <w:t>1023,1</w:t>
      </w:r>
      <w:r w:rsidRPr="007940D9">
        <w:t xml:space="preserve"> mii lei, sau la nivel de </w:t>
      </w:r>
      <w:r w:rsidR="00F70E4E" w:rsidRPr="007940D9">
        <w:t>3,0</w:t>
      </w:r>
      <w:r w:rsidRPr="007940D9">
        <w:t xml:space="preserve"> la sută, din motivul </w:t>
      </w:r>
      <w:r w:rsidR="00F70E4E" w:rsidRPr="007940D9">
        <w:t xml:space="preserve">că îndemnizațiile se achită în luna septembrie, precum și din cauza </w:t>
      </w:r>
      <w:r w:rsidRPr="007940D9">
        <w:t xml:space="preserve">neprezentării tinerilor specialiști la locul de serviciu conform repartizării.   </w:t>
      </w:r>
    </w:p>
    <w:p w:rsidR="003C55C6" w:rsidRPr="007940D9" w:rsidRDefault="000C18BF" w:rsidP="001554E7">
      <w:pPr>
        <w:pStyle w:val="Listparagraf"/>
        <w:tabs>
          <w:tab w:val="left" w:pos="426"/>
          <w:tab w:val="left" w:pos="851"/>
        </w:tabs>
        <w:ind w:left="0"/>
        <w:jc w:val="both"/>
      </w:pPr>
      <w:r>
        <w:tab/>
      </w:r>
      <w:r w:rsidR="003C55C6" w:rsidRPr="007940D9">
        <w:t>Partea mai mare de cheltuieli se finanțează din veniturile generale a</w:t>
      </w:r>
      <w:r w:rsidR="00F70E4E" w:rsidRPr="007940D9">
        <w:t>le</w:t>
      </w:r>
      <w:r w:rsidR="003C55C6" w:rsidRPr="007940D9">
        <w:t xml:space="preserve"> bugetului raional, și anume:</w:t>
      </w:r>
    </w:p>
    <w:p w:rsidR="008257BF" w:rsidRPr="007940D9" w:rsidRDefault="008657F2" w:rsidP="001554E7">
      <w:pPr>
        <w:pStyle w:val="Listparagraf"/>
        <w:numPr>
          <w:ilvl w:val="0"/>
          <w:numId w:val="1"/>
        </w:numPr>
        <w:tabs>
          <w:tab w:val="left" w:pos="284"/>
          <w:tab w:val="left" w:pos="426"/>
          <w:tab w:val="left" w:pos="993"/>
        </w:tabs>
        <w:ind w:left="0" w:firstLine="0"/>
        <w:jc w:val="both"/>
      </w:pPr>
      <w:r w:rsidRPr="007940D9">
        <w:lastRenderedPageBreak/>
        <w:t>„Servicii de</w:t>
      </w:r>
      <w:r w:rsidR="008257BF" w:rsidRPr="007940D9">
        <w:t xml:space="preserve"> asistență p</w:t>
      </w:r>
      <w:r w:rsidR="00F70E4E" w:rsidRPr="007940D9">
        <w:t>ersonală”, fiind înregistrate 100</w:t>
      </w:r>
      <w:r w:rsidR="008257BF" w:rsidRPr="007940D9">
        <w:t xml:space="preserve"> persoane beneficiare de serviciile oferite</w:t>
      </w:r>
      <w:r w:rsidRPr="007940D9">
        <w:t xml:space="preserve"> (din care 7 unități de asistenți personali </w:t>
      </w:r>
      <w:r w:rsidR="000C18BF" w:rsidRPr="007940D9">
        <w:t>sunt</w:t>
      </w:r>
      <w:r w:rsidRPr="007940D9">
        <w:t xml:space="preserve"> achitați din contul Fondului de Susținere Socială a Populației)</w:t>
      </w:r>
      <w:r w:rsidR="008257BF" w:rsidRPr="007940D9">
        <w:t xml:space="preserve">, volumul cheltuielilor achitate constituie </w:t>
      </w:r>
      <w:r w:rsidR="004B67FF" w:rsidRPr="007940D9">
        <w:t>2095,4</w:t>
      </w:r>
      <w:r w:rsidR="004155A9" w:rsidRPr="007940D9">
        <w:t xml:space="preserve"> mii lei, sau la nivel de </w:t>
      </w:r>
      <w:r w:rsidR="004B67FF" w:rsidRPr="007940D9">
        <w:t>37,8</w:t>
      </w:r>
      <w:r w:rsidR="008257BF" w:rsidRPr="007940D9">
        <w:t xml:space="preserve"> la sută;</w:t>
      </w:r>
    </w:p>
    <w:p w:rsidR="008257BF" w:rsidRPr="007940D9" w:rsidRDefault="008257BF" w:rsidP="001554E7">
      <w:pPr>
        <w:pStyle w:val="Listparagraf"/>
        <w:numPr>
          <w:ilvl w:val="0"/>
          <w:numId w:val="1"/>
        </w:numPr>
        <w:tabs>
          <w:tab w:val="left" w:pos="284"/>
          <w:tab w:val="left" w:pos="426"/>
          <w:tab w:val="left" w:pos="993"/>
        </w:tabs>
        <w:ind w:left="0" w:firstLine="0"/>
        <w:jc w:val="both"/>
      </w:pPr>
      <w:r w:rsidRPr="007940D9">
        <w:t>„Servicii de deservire socială la domiciliu” sunt înregistrați 1</w:t>
      </w:r>
      <w:r w:rsidR="004B67FF" w:rsidRPr="007940D9">
        <w:t>83</w:t>
      </w:r>
      <w:r w:rsidRPr="007940D9">
        <w:t xml:space="preserve"> de beneficiari, volumul cheltuielilor achitate constituie </w:t>
      </w:r>
      <w:r w:rsidR="004B67FF" w:rsidRPr="007940D9">
        <w:t>526,4</w:t>
      </w:r>
      <w:r w:rsidRPr="007940D9">
        <w:t xml:space="preserve"> mii lei, sau la nivel de </w:t>
      </w:r>
      <w:r w:rsidR="004B67FF" w:rsidRPr="007940D9">
        <w:t>48,8</w:t>
      </w:r>
      <w:r w:rsidRPr="007940D9">
        <w:t xml:space="preserve"> la sută;  </w:t>
      </w:r>
    </w:p>
    <w:p w:rsidR="004155A9" w:rsidRPr="007940D9" w:rsidRDefault="004155A9" w:rsidP="001554E7">
      <w:pPr>
        <w:pStyle w:val="Listparagraf"/>
        <w:numPr>
          <w:ilvl w:val="0"/>
          <w:numId w:val="1"/>
        </w:numPr>
        <w:tabs>
          <w:tab w:val="left" w:pos="284"/>
          <w:tab w:val="left" w:pos="426"/>
          <w:tab w:val="left" w:pos="993"/>
        </w:tabs>
        <w:ind w:left="0" w:firstLine="0"/>
        <w:jc w:val="both"/>
      </w:pPr>
      <w:r w:rsidRPr="007940D9">
        <w:t xml:space="preserve">”Serviciul de asistență socială comunitară” - alocațiile fiind precizate în sumă de </w:t>
      </w:r>
      <w:r w:rsidR="004B67FF" w:rsidRPr="007940D9">
        <w:t>2770,1</w:t>
      </w:r>
      <w:r w:rsidRPr="007940D9">
        <w:t xml:space="preserve"> mii lei au fost executate în sumă de </w:t>
      </w:r>
      <w:r w:rsidR="004B67FF" w:rsidRPr="007940D9">
        <w:t>1228,3</w:t>
      </w:r>
      <w:r w:rsidRPr="007940D9">
        <w:t xml:space="preserve"> mii lei, sau la nivel de </w:t>
      </w:r>
      <w:r w:rsidR="004B67FF" w:rsidRPr="007940D9">
        <w:t>44,3</w:t>
      </w:r>
      <w:r w:rsidRPr="007940D9">
        <w:t xml:space="preserve"> la sută.</w:t>
      </w:r>
    </w:p>
    <w:p w:rsidR="008A681B" w:rsidRPr="007940D9" w:rsidRDefault="008257BF" w:rsidP="001554E7">
      <w:pPr>
        <w:tabs>
          <w:tab w:val="left" w:pos="426"/>
        </w:tabs>
        <w:jc w:val="both"/>
      </w:pPr>
      <w:r w:rsidRPr="007940D9">
        <w:tab/>
        <w:t>Cum a fost menționat mai sus, pentru anul 20</w:t>
      </w:r>
      <w:r w:rsidR="004B67FF" w:rsidRPr="007940D9">
        <w:t>20</w:t>
      </w:r>
      <w:r w:rsidRPr="007940D9">
        <w:t xml:space="preserve"> la bugetul raional fiind precizate transferuri de la Fondul de </w:t>
      </w:r>
      <w:r w:rsidR="000C18BF" w:rsidRPr="007940D9">
        <w:t>Susținere</w:t>
      </w:r>
      <w:r w:rsidRPr="007940D9">
        <w:t xml:space="preserve"> Socială a </w:t>
      </w:r>
      <w:r w:rsidR="000C18BF" w:rsidRPr="007940D9">
        <w:t>Populației</w:t>
      </w:r>
      <w:r w:rsidRPr="007940D9">
        <w:t xml:space="preserve"> în sumă de </w:t>
      </w:r>
      <w:r w:rsidR="004B67FF" w:rsidRPr="007940D9">
        <w:t>4158,7</w:t>
      </w:r>
      <w:r w:rsidRPr="007940D9">
        <w:t xml:space="preserve"> mii lei, au fost </w:t>
      </w:r>
      <w:r w:rsidR="004B67FF" w:rsidRPr="007940D9">
        <w:t>finanțate</w:t>
      </w:r>
      <w:r w:rsidRPr="007940D9">
        <w:t xml:space="preserve"> </w:t>
      </w:r>
      <w:r w:rsidR="008657F2" w:rsidRPr="007940D9">
        <w:t xml:space="preserve">mijloace financiare în sumă de </w:t>
      </w:r>
      <w:r w:rsidR="004B67FF" w:rsidRPr="007940D9">
        <w:t>510,4</w:t>
      </w:r>
      <w:r w:rsidRPr="007940D9">
        <w:t xml:space="preserve"> mii lei, sau la nivel de </w:t>
      </w:r>
      <w:r w:rsidR="004B67FF" w:rsidRPr="007940D9">
        <w:t>12,3</w:t>
      </w:r>
      <w:r w:rsidRPr="007940D9">
        <w:t xml:space="preserve">la sută. </w:t>
      </w:r>
      <w:r w:rsidR="008A681B" w:rsidRPr="007940D9">
        <w:t>Totodată, suma alocată a fost repartizată pe următoarele servicii :</w:t>
      </w:r>
    </w:p>
    <w:p w:rsidR="008A681B" w:rsidRPr="007940D9" w:rsidRDefault="000C18BF" w:rsidP="001554E7">
      <w:pPr>
        <w:pStyle w:val="Listparagraf"/>
        <w:tabs>
          <w:tab w:val="left" w:pos="284"/>
          <w:tab w:val="left" w:pos="426"/>
        </w:tabs>
        <w:ind w:left="0"/>
        <w:jc w:val="both"/>
      </w:pPr>
      <w:r>
        <w:t>-  „</w:t>
      </w:r>
      <w:r w:rsidR="008A681B" w:rsidRPr="007940D9">
        <w:t xml:space="preserve">Serviciul social de sprijin pentru familiile cu copii” din transferurile aprobate în sumă de </w:t>
      </w:r>
      <w:r w:rsidR="009A190F" w:rsidRPr="007940D9">
        <w:t>691,6</w:t>
      </w:r>
      <w:r w:rsidR="008A681B" w:rsidRPr="007940D9">
        <w:t xml:space="preserve"> mii lei, fiind executate doar </w:t>
      </w:r>
      <w:r w:rsidR="009A190F" w:rsidRPr="007940D9">
        <w:t xml:space="preserve">172,0 </w:t>
      </w:r>
      <w:r w:rsidR="008A681B" w:rsidRPr="007940D9">
        <w:t xml:space="preserve">mii lei, sau la nivel de </w:t>
      </w:r>
      <w:r w:rsidR="009A190F" w:rsidRPr="007940D9">
        <w:t>24,9</w:t>
      </w:r>
      <w:r w:rsidR="008A681B" w:rsidRPr="007940D9">
        <w:t xml:space="preserve"> la sută. Numărul beneficiarilor ai serviciului menționat constituie </w:t>
      </w:r>
      <w:r w:rsidR="009A190F" w:rsidRPr="007940D9">
        <w:t>42</w:t>
      </w:r>
      <w:r w:rsidR="008A681B" w:rsidRPr="007940D9">
        <w:t xml:space="preserve"> familii. Serviciul menționat, </w:t>
      </w:r>
      <w:r w:rsidRPr="007940D9">
        <w:t>având</w:t>
      </w:r>
      <w:r w:rsidR="008A681B" w:rsidRPr="007940D9">
        <w:t xml:space="preserve"> misiunea de a susține familiile/persoanele defavorizate în contextul prevenirii/</w:t>
      </w:r>
      <w:r w:rsidRPr="007940D9">
        <w:t>depășirii</w:t>
      </w:r>
      <w:r w:rsidR="008A681B" w:rsidRPr="007940D9">
        <w:t xml:space="preserve"> </w:t>
      </w:r>
      <w:r w:rsidRPr="007940D9">
        <w:t>situațiilor</w:t>
      </w:r>
      <w:r w:rsidR="008A681B" w:rsidRPr="007940D9">
        <w:t xml:space="preserve"> de dificultate în vederea prevenirii excluziunii socio-economice, necesită perioadă de timp pentru evaluarea și identificarea necesităților solicitanților conform procedurilor stabilite în managementul de caz, aprobat de Ministerul Sănătății, Muncii și Protecției Sociale.</w:t>
      </w:r>
    </w:p>
    <w:p w:rsidR="008A681B" w:rsidRPr="007940D9" w:rsidRDefault="008A681B" w:rsidP="001554E7">
      <w:pPr>
        <w:tabs>
          <w:tab w:val="left" w:pos="426"/>
        </w:tabs>
        <w:jc w:val="both"/>
      </w:pPr>
      <w:r w:rsidRPr="007940D9">
        <w:t xml:space="preserve">- ”Serviciul de suport monetar familiilor/persoanelor defavorizate”, fiind executată sumă de </w:t>
      </w:r>
      <w:r w:rsidR="009A190F" w:rsidRPr="007940D9">
        <w:t>105,6</w:t>
      </w:r>
      <w:r w:rsidRPr="007940D9">
        <w:t xml:space="preserve"> mii lei din planul precizat de </w:t>
      </w:r>
      <w:r w:rsidR="009A190F" w:rsidRPr="007940D9">
        <w:t>268,1</w:t>
      </w:r>
      <w:r w:rsidRPr="007940D9">
        <w:t xml:space="preserve"> mii lei;</w:t>
      </w:r>
    </w:p>
    <w:p w:rsidR="008A681B" w:rsidRPr="007940D9" w:rsidRDefault="008A681B" w:rsidP="001554E7">
      <w:pPr>
        <w:tabs>
          <w:tab w:val="left" w:pos="426"/>
        </w:tabs>
        <w:jc w:val="both"/>
      </w:pPr>
      <w:r w:rsidRPr="007940D9">
        <w:t xml:space="preserve">-  ”Serviciul de asistență personală” cu executare în sumă de </w:t>
      </w:r>
      <w:r w:rsidR="009A190F" w:rsidRPr="007940D9">
        <w:t>181,4</w:t>
      </w:r>
      <w:r w:rsidRPr="007940D9">
        <w:t xml:space="preserve"> mii lei din planul precizat de  </w:t>
      </w:r>
      <w:r w:rsidR="009A190F" w:rsidRPr="007940D9">
        <w:t>380,9</w:t>
      </w:r>
      <w:r w:rsidRPr="007940D9">
        <w:t xml:space="preserve"> mii lei.</w:t>
      </w:r>
    </w:p>
    <w:p w:rsidR="008A681B" w:rsidRPr="007940D9" w:rsidRDefault="000C18BF" w:rsidP="001554E7">
      <w:pPr>
        <w:tabs>
          <w:tab w:val="left" w:pos="426"/>
        </w:tabs>
        <w:jc w:val="both"/>
      </w:pPr>
      <w:r>
        <w:tab/>
      </w:r>
      <w:r w:rsidR="008A681B" w:rsidRPr="007940D9">
        <w:t xml:space="preserve">În cadrul funcției menționate conform </w:t>
      </w:r>
      <w:r w:rsidRPr="007940D9">
        <w:t>Hotărârii</w:t>
      </w:r>
      <w:r w:rsidR="008A681B" w:rsidRPr="007940D9">
        <w:t xml:space="preserve"> Guvernului nr.</w:t>
      </w:r>
      <w:r>
        <w:t xml:space="preserve"> </w:t>
      </w:r>
      <w:r w:rsidR="00DA051D" w:rsidRPr="007940D9">
        <w:t>281/2020</w:t>
      </w:r>
      <w:r w:rsidR="008A681B" w:rsidRPr="007940D9">
        <w:t xml:space="preserve"> au fost alocate </w:t>
      </w:r>
      <w:r w:rsidR="00DA051D" w:rsidRPr="007940D9">
        <w:t>274,7</w:t>
      </w:r>
      <w:r w:rsidR="008A681B" w:rsidRPr="007940D9">
        <w:t xml:space="preserve"> mii lei în scopul </w:t>
      </w:r>
      <w:r w:rsidR="00DA051D" w:rsidRPr="007940D9">
        <w:t>restituirii valorii bunurilor prin achitarea</w:t>
      </w:r>
      <w:r w:rsidR="008A681B" w:rsidRPr="007940D9">
        <w:t xml:space="preserve"> compensațiilor persoanelor </w:t>
      </w:r>
      <w:r>
        <w:t>victime ale represiunilor politice</w:t>
      </w:r>
      <w:r w:rsidR="008A681B" w:rsidRPr="007940D9">
        <w:t xml:space="preserve">. </w:t>
      </w:r>
    </w:p>
    <w:p w:rsidR="008257BF" w:rsidRPr="007940D9" w:rsidRDefault="00DA051D" w:rsidP="001554E7">
      <w:pPr>
        <w:pStyle w:val="Listparagraf"/>
        <w:tabs>
          <w:tab w:val="left" w:pos="426"/>
          <w:tab w:val="left" w:pos="1170"/>
        </w:tabs>
        <w:ind w:left="0"/>
        <w:jc w:val="both"/>
      </w:pPr>
      <w:r w:rsidRPr="007940D9">
        <w:tab/>
        <w:t xml:space="preserve">Conform </w:t>
      </w:r>
      <w:r w:rsidR="000C18BF">
        <w:t>decizi</w:t>
      </w:r>
      <w:r w:rsidRPr="007940D9">
        <w:t>ei</w:t>
      </w:r>
      <w:r w:rsidR="008257BF" w:rsidRPr="007940D9">
        <w:t xml:space="preserve"> Consiliului raional nr. </w:t>
      </w:r>
      <w:r w:rsidRPr="007940D9">
        <w:t>4.27</w:t>
      </w:r>
      <w:r w:rsidR="008257BF" w:rsidRPr="007940D9">
        <w:t xml:space="preserve"> din </w:t>
      </w:r>
      <w:r w:rsidRPr="007940D9">
        <w:t>05.06</w:t>
      </w:r>
      <w:r w:rsidR="008257BF" w:rsidRPr="007940D9">
        <w:t>.20</w:t>
      </w:r>
      <w:r w:rsidRPr="007940D9">
        <w:t>20</w:t>
      </w:r>
      <w:r w:rsidR="008257BF" w:rsidRPr="007940D9">
        <w:t xml:space="preserve"> </w:t>
      </w:r>
      <w:r w:rsidR="000C18BF">
        <w:t>c</w:t>
      </w:r>
      <w:r w:rsidR="008257BF" w:rsidRPr="007940D9">
        <w:t>u privire la rectificarea bugetului raional apro</w:t>
      </w:r>
      <w:r w:rsidR="00481580" w:rsidRPr="007940D9">
        <w:t>bat pe anul 20</w:t>
      </w:r>
      <w:r w:rsidRPr="007940D9">
        <w:t>20</w:t>
      </w:r>
      <w:r w:rsidR="008257BF" w:rsidRPr="007940D9">
        <w:t xml:space="preserve"> şi alocarea unor mijloace financiare, din sursele disponibile ale bugetului raional au fost redistribuite și alocate mijloace financiare în sumă de </w:t>
      </w:r>
      <w:r w:rsidR="005C3216" w:rsidRPr="007940D9">
        <w:t>12405,9</w:t>
      </w:r>
      <w:r w:rsidR="008257BF" w:rsidRPr="007940D9">
        <w:t xml:space="preserve"> mii lei </w:t>
      </w:r>
      <w:r w:rsidR="000C18BF" w:rsidRPr="007940D9">
        <w:t>instituțiilor</w:t>
      </w:r>
      <w:r w:rsidR="005238FE" w:rsidRPr="007940D9">
        <w:t xml:space="preserve"> bugetare din subordinea Consiliului raional, </w:t>
      </w:r>
      <w:r w:rsidR="008257BF" w:rsidRPr="007940D9">
        <w:t>bugetelor sate</w:t>
      </w:r>
      <w:r w:rsidR="005238FE" w:rsidRPr="007940D9">
        <w:t>lor (comunelor), or. Criuleni</w:t>
      </w:r>
      <w:r w:rsidR="008257BF" w:rsidRPr="007940D9">
        <w:t xml:space="preserve"> pentru </w:t>
      </w:r>
      <w:r w:rsidR="000C18BF" w:rsidRPr="007940D9">
        <w:t>investiții</w:t>
      </w:r>
      <w:r w:rsidR="008257BF" w:rsidRPr="007940D9">
        <w:t xml:space="preserve"> şi </w:t>
      </w:r>
      <w:r w:rsidR="000C18BF" w:rsidRPr="007940D9">
        <w:t>reparații</w:t>
      </w:r>
      <w:r w:rsidR="008257BF" w:rsidRPr="007940D9">
        <w:t xml:space="preserve"> capitale, </w:t>
      </w:r>
      <w:r w:rsidR="000C18BF" w:rsidRPr="007940D9">
        <w:t>contribuții</w:t>
      </w:r>
      <w:r w:rsidR="008257BF" w:rsidRPr="007940D9">
        <w:t xml:space="preserve"> la proiecte </w:t>
      </w:r>
      <w:r w:rsidR="000C18BF" w:rsidRPr="007940D9">
        <w:t>investiționale</w:t>
      </w:r>
      <w:r w:rsidR="008257BF" w:rsidRPr="007940D9">
        <w:t>, achitarea cheltuielilor curente, a</w:t>
      </w:r>
      <w:r w:rsidR="00481580" w:rsidRPr="007940D9">
        <w:t xml:space="preserve">cordarea ajutoarelor materiale, </w:t>
      </w:r>
      <w:r w:rsidR="005238FE" w:rsidRPr="007940D9">
        <w:t>după cum urmează:</w:t>
      </w:r>
    </w:p>
    <w:p w:rsidR="008257BF" w:rsidRPr="001554E7" w:rsidRDefault="008257BF" w:rsidP="008257BF">
      <w:pPr>
        <w:pStyle w:val="Listparagraf"/>
        <w:tabs>
          <w:tab w:val="left" w:pos="426"/>
          <w:tab w:val="left" w:pos="1170"/>
        </w:tabs>
        <w:ind w:left="0"/>
        <w:jc w:val="both"/>
        <w:rPr>
          <w:b/>
          <w:i/>
        </w:rPr>
      </w:pPr>
    </w:p>
    <w:tbl>
      <w:tblPr>
        <w:tblStyle w:val="GrilTabel"/>
        <w:tblW w:w="9781" w:type="dxa"/>
        <w:tblInd w:w="108" w:type="dxa"/>
        <w:tblLayout w:type="fixed"/>
        <w:tblLook w:val="04A0" w:firstRow="1" w:lastRow="0" w:firstColumn="1" w:lastColumn="0" w:noHBand="0" w:noVBand="1"/>
      </w:tblPr>
      <w:tblGrid>
        <w:gridCol w:w="534"/>
        <w:gridCol w:w="5703"/>
        <w:gridCol w:w="1418"/>
        <w:gridCol w:w="992"/>
        <w:gridCol w:w="1134"/>
      </w:tblGrid>
      <w:tr w:rsidR="001554E7" w:rsidRPr="001554E7" w:rsidTr="006A30BA">
        <w:trPr>
          <w:trHeight w:val="173"/>
        </w:trPr>
        <w:tc>
          <w:tcPr>
            <w:tcW w:w="534" w:type="dxa"/>
            <w:vMerge w:val="restart"/>
          </w:tcPr>
          <w:p w:rsidR="008257BF" w:rsidRPr="001554E7" w:rsidRDefault="008257BF" w:rsidP="006A30BA">
            <w:pPr>
              <w:pStyle w:val="Listparagraf"/>
              <w:tabs>
                <w:tab w:val="left" w:pos="426"/>
                <w:tab w:val="left" w:pos="1170"/>
              </w:tabs>
              <w:ind w:left="0"/>
              <w:jc w:val="center"/>
              <w:rPr>
                <w:b/>
              </w:rPr>
            </w:pPr>
            <w:r w:rsidRPr="001554E7">
              <w:rPr>
                <w:b/>
              </w:rPr>
              <w:t>Nr. d/o</w:t>
            </w:r>
          </w:p>
        </w:tc>
        <w:tc>
          <w:tcPr>
            <w:tcW w:w="5703" w:type="dxa"/>
            <w:vMerge w:val="restart"/>
            <w:vAlign w:val="center"/>
          </w:tcPr>
          <w:p w:rsidR="008257BF" w:rsidRPr="001554E7" w:rsidRDefault="008257BF" w:rsidP="006A30BA">
            <w:pPr>
              <w:pStyle w:val="Listparagraf"/>
              <w:tabs>
                <w:tab w:val="left" w:pos="426"/>
                <w:tab w:val="left" w:pos="1170"/>
              </w:tabs>
              <w:ind w:left="0"/>
              <w:jc w:val="center"/>
              <w:rPr>
                <w:b/>
                <w:sz w:val="24"/>
                <w:szCs w:val="24"/>
              </w:rPr>
            </w:pPr>
            <w:r w:rsidRPr="001554E7">
              <w:rPr>
                <w:b/>
                <w:sz w:val="24"/>
                <w:szCs w:val="24"/>
              </w:rPr>
              <w:t>Sursa</w:t>
            </w:r>
          </w:p>
        </w:tc>
        <w:tc>
          <w:tcPr>
            <w:tcW w:w="1418" w:type="dxa"/>
            <w:vMerge w:val="restart"/>
          </w:tcPr>
          <w:p w:rsidR="008257BF" w:rsidRPr="001554E7" w:rsidRDefault="008257BF" w:rsidP="006A30BA">
            <w:pPr>
              <w:pStyle w:val="Listparagraf"/>
              <w:tabs>
                <w:tab w:val="left" w:pos="426"/>
                <w:tab w:val="left" w:pos="1170"/>
              </w:tabs>
              <w:ind w:left="0"/>
              <w:jc w:val="center"/>
              <w:rPr>
                <w:b/>
                <w:sz w:val="24"/>
                <w:szCs w:val="24"/>
              </w:rPr>
            </w:pPr>
            <w:r w:rsidRPr="001554E7">
              <w:rPr>
                <w:b/>
                <w:sz w:val="24"/>
                <w:szCs w:val="24"/>
              </w:rPr>
              <w:t>Suma totală,</w:t>
            </w:r>
          </w:p>
          <w:p w:rsidR="008257BF" w:rsidRPr="001554E7" w:rsidRDefault="008257BF" w:rsidP="006A30BA">
            <w:pPr>
              <w:pStyle w:val="Listparagraf"/>
              <w:tabs>
                <w:tab w:val="left" w:pos="426"/>
                <w:tab w:val="left" w:pos="1170"/>
              </w:tabs>
              <w:ind w:left="0"/>
              <w:jc w:val="center"/>
              <w:rPr>
                <w:b/>
                <w:sz w:val="24"/>
                <w:szCs w:val="24"/>
              </w:rPr>
            </w:pPr>
            <w:r w:rsidRPr="001554E7">
              <w:rPr>
                <w:b/>
                <w:sz w:val="24"/>
                <w:szCs w:val="24"/>
              </w:rPr>
              <w:t>mii lei</w:t>
            </w:r>
          </w:p>
        </w:tc>
        <w:tc>
          <w:tcPr>
            <w:tcW w:w="2126" w:type="dxa"/>
            <w:gridSpan w:val="2"/>
          </w:tcPr>
          <w:p w:rsidR="008257BF" w:rsidRPr="001554E7" w:rsidRDefault="008257BF" w:rsidP="006A30BA">
            <w:pPr>
              <w:pStyle w:val="Listparagraf"/>
              <w:tabs>
                <w:tab w:val="left" w:pos="426"/>
                <w:tab w:val="left" w:pos="1170"/>
              </w:tabs>
              <w:ind w:left="0"/>
              <w:jc w:val="center"/>
              <w:rPr>
                <w:b/>
                <w:sz w:val="24"/>
                <w:szCs w:val="24"/>
              </w:rPr>
            </w:pPr>
            <w:r w:rsidRPr="001554E7">
              <w:rPr>
                <w:b/>
                <w:sz w:val="24"/>
                <w:szCs w:val="24"/>
              </w:rPr>
              <w:t>Inclusiv bugetelor</w:t>
            </w:r>
          </w:p>
        </w:tc>
      </w:tr>
      <w:tr w:rsidR="001554E7" w:rsidRPr="001554E7" w:rsidTr="006A30BA">
        <w:trPr>
          <w:trHeight w:val="321"/>
        </w:trPr>
        <w:tc>
          <w:tcPr>
            <w:tcW w:w="534" w:type="dxa"/>
            <w:vMerge/>
          </w:tcPr>
          <w:p w:rsidR="008257BF" w:rsidRPr="001554E7" w:rsidRDefault="008257BF" w:rsidP="006A30BA">
            <w:pPr>
              <w:pStyle w:val="Listparagraf"/>
              <w:tabs>
                <w:tab w:val="left" w:pos="426"/>
                <w:tab w:val="left" w:pos="1170"/>
              </w:tabs>
              <w:ind w:left="0"/>
              <w:jc w:val="center"/>
              <w:rPr>
                <w:b/>
                <w:sz w:val="24"/>
                <w:szCs w:val="24"/>
              </w:rPr>
            </w:pPr>
          </w:p>
        </w:tc>
        <w:tc>
          <w:tcPr>
            <w:tcW w:w="5703" w:type="dxa"/>
            <w:vMerge/>
          </w:tcPr>
          <w:p w:rsidR="008257BF" w:rsidRPr="001554E7" w:rsidRDefault="008257BF" w:rsidP="006A30BA">
            <w:pPr>
              <w:pStyle w:val="Listparagraf"/>
              <w:tabs>
                <w:tab w:val="left" w:pos="426"/>
                <w:tab w:val="left" w:pos="1170"/>
              </w:tabs>
              <w:ind w:left="0"/>
              <w:jc w:val="center"/>
              <w:rPr>
                <w:b/>
                <w:sz w:val="24"/>
                <w:szCs w:val="24"/>
              </w:rPr>
            </w:pPr>
          </w:p>
        </w:tc>
        <w:tc>
          <w:tcPr>
            <w:tcW w:w="1418" w:type="dxa"/>
            <w:vMerge/>
          </w:tcPr>
          <w:p w:rsidR="008257BF" w:rsidRPr="001554E7" w:rsidRDefault="008257BF" w:rsidP="006A30BA">
            <w:pPr>
              <w:pStyle w:val="Listparagraf"/>
              <w:tabs>
                <w:tab w:val="left" w:pos="426"/>
                <w:tab w:val="left" w:pos="1170"/>
              </w:tabs>
              <w:ind w:left="0"/>
              <w:jc w:val="center"/>
              <w:rPr>
                <w:b/>
                <w:sz w:val="24"/>
                <w:szCs w:val="24"/>
              </w:rPr>
            </w:pPr>
          </w:p>
        </w:tc>
        <w:tc>
          <w:tcPr>
            <w:tcW w:w="992" w:type="dxa"/>
            <w:vAlign w:val="center"/>
          </w:tcPr>
          <w:p w:rsidR="008257BF" w:rsidRPr="001554E7" w:rsidRDefault="008257BF" w:rsidP="006A30BA">
            <w:pPr>
              <w:pStyle w:val="Listparagraf"/>
              <w:tabs>
                <w:tab w:val="left" w:pos="426"/>
                <w:tab w:val="left" w:pos="1170"/>
              </w:tabs>
              <w:ind w:left="0"/>
              <w:jc w:val="center"/>
              <w:rPr>
                <w:b/>
                <w:sz w:val="24"/>
                <w:szCs w:val="24"/>
              </w:rPr>
            </w:pPr>
            <w:r w:rsidRPr="001554E7">
              <w:rPr>
                <w:b/>
                <w:sz w:val="24"/>
                <w:szCs w:val="24"/>
              </w:rPr>
              <w:t>Nivelul I</w:t>
            </w:r>
          </w:p>
        </w:tc>
        <w:tc>
          <w:tcPr>
            <w:tcW w:w="1134" w:type="dxa"/>
            <w:vAlign w:val="center"/>
          </w:tcPr>
          <w:p w:rsidR="008257BF" w:rsidRPr="001554E7" w:rsidRDefault="008257BF" w:rsidP="006A30BA">
            <w:pPr>
              <w:pStyle w:val="Listparagraf"/>
              <w:tabs>
                <w:tab w:val="left" w:pos="426"/>
                <w:tab w:val="left" w:pos="1170"/>
              </w:tabs>
              <w:ind w:left="0"/>
              <w:jc w:val="center"/>
              <w:rPr>
                <w:b/>
                <w:sz w:val="24"/>
                <w:szCs w:val="24"/>
              </w:rPr>
            </w:pPr>
            <w:r w:rsidRPr="001554E7">
              <w:rPr>
                <w:b/>
                <w:sz w:val="24"/>
                <w:szCs w:val="24"/>
              </w:rPr>
              <w:t>Nivelul II</w:t>
            </w:r>
          </w:p>
        </w:tc>
      </w:tr>
      <w:tr w:rsidR="001554E7" w:rsidRPr="001554E7" w:rsidTr="006A30BA">
        <w:trPr>
          <w:trHeight w:val="420"/>
        </w:trPr>
        <w:tc>
          <w:tcPr>
            <w:tcW w:w="534" w:type="dxa"/>
            <w:vAlign w:val="center"/>
          </w:tcPr>
          <w:p w:rsidR="008257BF" w:rsidRPr="001554E7" w:rsidRDefault="008257BF" w:rsidP="006A30BA">
            <w:pPr>
              <w:pStyle w:val="Listparagraf"/>
              <w:numPr>
                <w:ilvl w:val="0"/>
                <w:numId w:val="8"/>
              </w:numPr>
              <w:tabs>
                <w:tab w:val="left" w:pos="426"/>
                <w:tab w:val="left" w:pos="1170"/>
              </w:tabs>
              <w:ind w:left="0" w:firstLine="0"/>
              <w:jc w:val="both"/>
              <w:rPr>
                <w:sz w:val="24"/>
                <w:szCs w:val="24"/>
              </w:rPr>
            </w:pPr>
          </w:p>
        </w:tc>
        <w:tc>
          <w:tcPr>
            <w:tcW w:w="5703" w:type="dxa"/>
          </w:tcPr>
          <w:p w:rsidR="008257BF" w:rsidRPr="001554E7" w:rsidRDefault="008257BF" w:rsidP="006A30BA">
            <w:pPr>
              <w:pStyle w:val="Listparagraf"/>
              <w:tabs>
                <w:tab w:val="left" w:pos="426"/>
                <w:tab w:val="left" w:pos="1170"/>
              </w:tabs>
              <w:ind w:left="0"/>
              <w:jc w:val="both"/>
              <w:rPr>
                <w:sz w:val="24"/>
                <w:szCs w:val="24"/>
              </w:rPr>
            </w:pPr>
            <w:r w:rsidRPr="001554E7">
              <w:rPr>
                <w:sz w:val="24"/>
                <w:szCs w:val="24"/>
              </w:rPr>
              <w:t>Soldul disponibil al bugetului raional</w:t>
            </w:r>
          </w:p>
        </w:tc>
        <w:tc>
          <w:tcPr>
            <w:tcW w:w="1418" w:type="dxa"/>
            <w:vAlign w:val="center"/>
          </w:tcPr>
          <w:p w:rsidR="008257BF" w:rsidRPr="001554E7" w:rsidRDefault="00EA6963" w:rsidP="00EA6963">
            <w:pPr>
              <w:pStyle w:val="Listparagraf"/>
              <w:tabs>
                <w:tab w:val="left" w:pos="426"/>
                <w:tab w:val="left" w:pos="1170"/>
              </w:tabs>
              <w:ind w:left="0"/>
              <w:jc w:val="center"/>
              <w:rPr>
                <w:sz w:val="24"/>
                <w:szCs w:val="24"/>
              </w:rPr>
            </w:pPr>
            <w:r w:rsidRPr="001554E7">
              <w:rPr>
                <w:sz w:val="24"/>
                <w:szCs w:val="24"/>
              </w:rPr>
              <w:t>7379,4</w:t>
            </w:r>
          </w:p>
        </w:tc>
        <w:tc>
          <w:tcPr>
            <w:tcW w:w="992" w:type="dxa"/>
            <w:vAlign w:val="center"/>
          </w:tcPr>
          <w:p w:rsidR="008257BF" w:rsidRPr="001554E7" w:rsidRDefault="00EA6963" w:rsidP="00EA6963">
            <w:pPr>
              <w:pStyle w:val="Listparagraf"/>
              <w:tabs>
                <w:tab w:val="left" w:pos="426"/>
                <w:tab w:val="left" w:pos="1170"/>
              </w:tabs>
              <w:ind w:left="0" w:right="-108"/>
              <w:jc w:val="center"/>
              <w:rPr>
                <w:sz w:val="24"/>
                <w:szCs w:val="24"/>
              </w:rPr>
            </w:pPr>
            <w:r w:rsidRPr="001554E7">
              <w:rPr>
                <w:sz w:val="24"/>
                <w:szCs w:val="24"/>
              </w:rPr>
              <w:t>1981,1</w:t>
            </w:r>
          </w:p>
        </w:tc>
        <w:tc>
          <w:tcPr>
            <w:tcW w:w="1134" w:type="dxa"/>
            <w:vAlign w:val="center"/>
          </w:tcPr>
          <w:p w:rsidR="008257BF" w:rsidRPr="001554E7" w:rsidRDefault="00EA6963" w:rsidP="00EA6963">
            <w:pPr>
              <w:pStyle w:val="Listparagraf"/>
              <w:tabs>
                <w:tab w:val="left" w:pos="426"/>
                <w:tab w:val="left" w:pos="1170"/>
              </w:tabs>
              <w:ind w:left="0"/>
              <w:jc w:val="center"/>
              <w:rPr>
                <w:sz w:val="24"/>
                <w:szCs w:val="24"/>
              </w:rPr>
            </w:pPr>
            <w:r w:rsidRPr="001554E7">
              <w:rPr>
                <w:sz w:val="24"/>
                <w:szCs w:val="24"/>
              </w:rPr>
              <w:t>5398,2</w:t>
            </w:r>
          </w:p>
        </w:tc>
      </w:tr>
      <w:tr w:rsidR="001554E7" w:rsidRPr="001554E7" w:rsidTr="006A30BA">
        <w:tc>
          <w:tcPr>
            <w:tcW w:w="534" w:type="dxa"/>
            <w:vAlign w:val="center"/>
          </w:tcPr>
          <w:p w:rsidR="008257BF" w:rsidRPr="001554E7" w:rsidRDefault="008257BF" w:rsidP="006A30BA">
            <w:pPr>
              <w:pStyle w:val="Listparagraf"/>
              <w:tabs>
                <w:tab w:val="left" w:pos="426"/>
                <w:tab w:val="left" w:pos="1170"/>
              </w:tabs>
              <w:ind w:left="0"/>
              <w:jc w:val="both"/>
              <w:rPr>
                <w:sz w:val="24"/>
                <w:szCs w:val="24"/>
              </w:rPr>
            </w:pPr>
            <w:r w:rsidRPr="001554E7">
              <w:rPr>
                <w:sz w:val="24"/>
                <w:szCs w:val="24"/>
              </w:rPr>
              <w:t>2.</w:t>
            </w:r>
          </w:p>
        </w:tc>
        <w:tc>
          <w:tcPr>
            <w:tcW w:w="5703" w:type="dxa"/>
          </w:tcPr>
          <w:p w:rsidR="008257BF" w:rsidRPr="001554E7" w:rsidRDefault="008257BF" w:rsidP="005C3216">
            <w:pPr>
              <w:pStyle w:val="Listparagraf"/>
              <w:tabs>
                <w:tab w:val="left" w:pos="426"/>
                <w:tab w:val="left" w:pos="1170"/>
              </w:tabs>
              <w:ind w:left="0"/>
              <w:jc w:val="both"/>
              <w:rPr>
                <w:sz w:val="24"/>
                <w:szCs w:val="24"/>
              </w:rPr>
            </w:pPr>
            <w:r w:rsidRPr="001554E7">
              <w:rPr>
                <w:sz w:val="24"/>
                <w:szCs w:val="24"/>
              </w:rPr>
              <w:t>Componenta raională a transferurilor categoriale alocații 20</w:t>
            </w:r>
            <w:r w:rsidR="005C3216" w:rsidRPr="001554E7">
              <w:rPr>
                <w:sz w:val="24"/>
                <w:szCs w:val="24"/>
              </w:rPr>
              <w:t>20</w:t>
            </w:r>
          </w:p>
        </w:tc>
        <w:tc>
          <w:tcPr>
            <w:tcW w:w="1418" w:type="dxa"/>
            <w:vAlign w:val="center"/>
          </w:tcPr>
          <w:p w:rsidR="008257BF" w:rsidRPr="001554E7" w:rsidRDefault="00EA6963" w:rsidP="00EA6963">
            <w:pPr>
              <w:pStyle w:val="Listparagraf"/>
              <w:tabs>
                <w:tab w:val="left" w:pos="426"/>
                <w:tab w:val="left" w:pos="1170"/>
              </w:tabs>
              <w:ind w:left="0"/>
              <w:jc w:val="center"/>
              <w:rPr>
                <w:sz w:val="24"/>
                <w:szCs w:val="24"/>
              </w:rPr>
            </w:pPr>
            <w:r w:rsidRPr="001554E7">
              <w:rPr>
                <w:sz w:val="24"/>
                <w:szCs w:val="24"/>
              </w:rPr>
              <w:t>4747,1</w:t>
            </w:r>
          </w:p>
        </w:tc>
        <w:tc>
          <w:tcPr>
            <w:tcW w:w="992" w:type="dxa"/>
            <w:vAlign w:val="center"/>
          </w:tcPr>
          <w:p w:rsidR="008257BF" w:rsidRPr="001554E7" w:rsidRDefault="008257BF" w:rsidP="006A30BA">
            <w:pPr>
              <w:pStyle w:val="Listparagraf"/>
              <w:tabs>
                <w:tab w:val="left" w:pos="426"/>
                <w:tab w:val="left" w:pos="1170"/>
              </w:tabs>
              <w:ind w:left="0"/>
              <w:jc w:val="center"/>
              <w:rPr>
                <w:sz w:val="24"/>
                <w:szCs w:val="24"/>
              </w:rPr>
            </w:pPr>
          </w:p>
        </w:tc>
        <w:tc>
          <w:tcPr>
            <w:tcW w:w="1134" w:type="dxa"/>
            <w:vAlign w:val="center"/>
          </w:tcPr>
          <w:p w:rsidR="008257BF" w:rsidRPr="001554E7" w:rsidRDefault="00EA6963" w:rsidP="00EA6963">
            <w:pPr>
              <w:pStyle w:val="Listparagraf"/>
              <w:tabs>
                <w:tab w:val="left" w:pos="426"/>
                <w:tab w:val="left" w:pos="1170"/>
              </w:tabs>
              <w:ind w:left="0"/>
              <w:jc w:val="center"/>
              <w:rPr>
                <w:sz w:val="24"/>
                <w:szCs w:val="24"/>
              </w:rPr>
            </w:pPr>
            <w:r w:rsidRPr="001554E7">
              <w:rPr>
                <w:sz w:val="24"/>
                <w:szCs w:val="24"/>
              </w:rPr>
              <w:t>4747,1</w:t>
            </w:r>
          </w:p>
        </w:tc>
      </w:tr>
      <w:tr w:rsidR="001554E7" w:rsidRPr="001554E7" w:rsidTr="006A30BA">
        <w:tc>
          <w:tcPr>
            <w:tcW w:w="534" w:type="dxa"/>
            <w:vAlign w:val="center"/>
          </w:tcPr>
          <w:p w:rsidR="008257BF" w:rsidRPr="001554E7" w:rsidRDefault="008257BF" w:rsidP="006A30BA">
            <w:pPr>
              <w:pStyle w:val="Listparagraf"/>
              <w:tabs>
                <w:tab w:val="left" w:pos="426"/>
                <w:tab w:val="left" w:pos="1170"/>
              </w:tabs>
              <w:ind w:left="0"/>
              <w:jc w:val="both"/>
              <w:rPr>
                <w:sz w:val="24"/>
                <w:szCs w:val="24"/>
              </w:rPr>
            </w:pPr>
            <w:r w:rsidRPr="001554E7">
              <w:rPr>
                <w:sz w:val="24"/>
                <w:szCs w:val="24"/>
              </w:rPr>
              <w:t>4.</w:t>
            </w:r>
          </w:p>
        </w:tc>
        <w:tc>
          <w:tcPr>
            <w:tcW w:w="5703" w:type="dxa"/>
          </w:tcPr>
          <w:p w:rsidR="008257BF" w:rsidRPr="001554E7" w:rsidRDefault="008257BF" w:rsidP="005C3216">
            <w:pPr>
              <w:pStyle w:val="Listparagraf"/>
              <w:tabs>
                <w:tab w:val="left" w:pos="426"/>
                <w:tab w:val="left" w:pos="1170"/>
              </w:tabs>
              <w:ind w:left="0"/>
              <w:jc w:val="both"/>
              <w:rPr>
                <w:sz w:val="24"/>
                <w:szCs w:val="24"/>
              </w:rPr>
            </w:pPr>
            <w:r w:rsidRPr="001554E7">
              <w:rPr>
                <w:sz w:val="24"/>
                <w:szCs w:val="24"/>
              </w:rPr>
              <w:t xml:space="preserve">Soldul alocațiilor neutilizate ale </w:t>
            </w:r>
            <w:r w:rsidR="000C18BF" w:rsidRPr="001554E7">
              <w:rPr>
                <w:sz w:val="24"/>
                <w:szCs w:val="24"/>
              </w:rPr>
              <w:t>instituțiilor</w:t>
            </w:r>
            <w:r w:rsidRPr="001554E7">
              <w:rPr>
                <w:sz w:val="24"/>
                <w:szCs w:val="24"/>
              </w:rPr>
              <w:t xml:space="preserve"> de </w:t>
            </w:r>
            <w:r w:rsidR="000C18BF" w:rsidRPr="001554E7">
              <w:rPr>
                <w:sz w:val="24"/>
                <w:szCs w:val="24"/>
              </w:rPr>
              <w:t>învățământ</w:t>
            </w:r>
            <w:r w:rsidR="005F1C4C" w:rsidRPr="001554E7">
              <w:rPr>
                <w:sz w:val="24"/>
                <w:szCs w:val="24"/>
              </w:rPr>
              <w:t xml:space="preserve"> la situația din 31.12.201</w:t>
            </w:r>
            <w:r w:rsidR="005C3216" w:rsidRPr="001554E7">
              <w:rPr>
                <w:sz w:val="24"/>
                <w:szCs w:val="24"/>
              </w:rPr>
              <w:t>9</w:t>
            </w:r>
            <w:r w:rsidRPr="001554E7">
              <w:rPr>
                <w:sz w:val="24"/>
                <w:szCs w:val="24"/>
              </w:rPr>
              <w:t xml:space="preserve"> </w:t>
            </w:r>
          </w:p>
        </w:tc>
        <w:tc>
          <w:tcPr>
            <w:tcW w:w="1418" w:type="dxa"/>
            <w:vAlign w:val="center"/>
          </w:tcPr>
          <w:p w:rsidR="008257BF" w:rsidRPr="001554E7" w:rsidRDefault="00EA6963" w:rsidP="006A30BA">
            <w:pPr>
              <w:pStyle w:val="Listparagraf"/>
              <w:tabs>
                <w:tab w:val="left" w:pos="426"/>
                <w:tab w:val="left" w:pos="1170"/>
              </w:tabs>
              <w:ind w:left="0"/>
              <w:jc w:val="center"/>
              <w:rPr>
                <w:sz w:val="24"/>
                <w:szCs w:val="24"/>
              </w:rPr>
            </w:pPr>
            <w:r w:rsidRPr="001554E7">
              <w:rPr>
                <w:sz w:val="24"/>
                <w:szCs w:val="24"/>
              </w:rPr>
              <w:t>216,4</w:t>
            </w:r>
          </w:p>
        </w:tc>
        <w:tc>
          <w:tcPr>
            <w:tcW w:w="992" w:type="dxa"/>
            <w:vAlign w:val="center"/>
          </w:tcPr>
          <w:p w:rsidR="008257BF" w:rsidRPr="001554E7" w:rsidRDefault="008257BF" w:rsidP="006A30BA">
            <w:pPr>
              <w:pStyle w:val="Listparagraf"/>
              <w:tabs>
                <w:tab w:val="left" w:pos="426"/>
                <w:tab w:val="left" w:pos="1170"/>
              </w:tabs>
              <w:ind w:left="0"/>
              <w:jc w:val="center"/>
              <w:rPr>
                <w:sz w:val="24"/>
                <w:szCs w:val="24"/>
              </w:rPr>
            </w:pPr>
          </w:p>
        </w:tc>
        <w:tc>
          <w:tcPr>
            <w:tcW w:w="1134" w:type="dxa"/>
            <w:vAlign w:val="center"/>
          </w:tcPr>
          <w:p w:rsidR="008257BF" w:rsidRPr="001554E7" w:rsidRDefault="00EA6963" w:rsidP="006A30BA">
            <w:pPr>
              <w:pStyle w:val="Listparagraf"/>
              <w:tabs>
                <w:tab w:val="left" w:pos="426"/>
                <w:tab w:val="left" w:pos="1170"/>
              </w:tabs>
              <w:ind w:left="0"/>
              <w:jc w:val="center"/>
              <w:rPr>
                <w:sz w:val="24"/>
                <w:szCs w:val="24"/>
              </w:rPr>
            </w:pPr>
            <w:r w:rsidRPr="001554E7">
              <w:rPr>
                <w:sz w:val="24"/>
                <w:szCs w:val="24"/>
              </w:rPr>
              <w:t>216,4</w:t>
            </w:r>
          </w:p>
        </w:tc>
      </w:tr>
      <w:tr w:rsidR="001554E7" w:rsidRPr="001554E7" w:rsidTr="006A30BA">
        <w:tc>
          <w:tcPr>
            <w:tcW w:w="534" w:type="dxa"/>
            <w:vAlign w:val="center"/>
          </w:tcPr>
          <w:p w:rsidR="008257BF" w:rsidRPr="001554E7" w:rsidRDefault="008257BF" w:rsidP="006A30BA">
            <w:pPr>
              <w:pStyle w:val="Listparagraf"/>
              <w:tabs>
                <w:tab w:val="left" w:pos="426"/>
                <w:tab w:val="left" w:pos="1170"/>
              </w:tabs>
              <w:ind w:left="0"/>
              <w:jc w:val="both"/>
              <w:rPr>
                <w:sz w:val="24"/>
                <w:szCs w:val="24"/>
              </w:rPr>
            </w:pPr>
            <w:r w:rsidRPr="001554E7">
              <w:rPr>
                <w:sz w:val="24"/>
                <w:szCs w:val="24"/>
              </w:rPr>
              <w:t>5.</w:t>
            </w:r>
          </w:p>
        </w:tc>
        <w:tc>
          <w:tcPr>
            <w:tcW w:w="5703" w:type="dxa"/>
          </w:tcPr>
          <w:p w:rsidR="008257BF" w:rsidRPr="001554E7" w:rsidRDefault="008257BF" w:rsidP="006A30BA">
            <w:pPr>
              <w:pStyle w:val="Listparagraf"/>
              <w:tabs>
                <w:tab w:val="left" w:pos="426"/>
                <w:tab w:val="left" w:pos="1170"/>
              </w:tabs>
              <w:ind w:left="0"/>
              <w:jc w:val="both"/>
              <w:rPr>
                <w:sz w:val="24"/>
                <w:szCs w:val="24"/>
              </w:rPr>
            </w:pPr>
            <w:r w:rsidRPr="001554E7">
              <w:rPr>
                <w:sz w:val="24"/>
                <w:szCs w:val="24"/>
              </w:rPr>
              <w:t>Fondul de rezervă al Consiliului raional</w:t>
            </w:r>
          </w:p>
        </w:tc>
        <w:tc>
          <w:tcPr>
            <w:tcW w:w="1418" w:type="dxa"/>
            <w:vAlign w:val="center"/>
          </w:tcPr>
          <w:p w:rsidR="008257BF" w:rsidRPr="001554E7" w:rsidRDefault="00EA6963" w:rsidP="006A30BA">
            <w:pPr>
              <w:pStyle w:val="Listparagraf"/>
              <w:tabs>
                <w:tab w:val="left" w:pos="426"/>
                <w:tab w:val="left" w:pos="1170"/>
              </w:tabs>
              <w:ind w:left="0"/>
              <w:jc w:val="center"/>
              <w:rPr>
                <w:sz w:val="24"/>
                <w:szCs w:val="24"/>
              </w:rPr>
            </w:pPr>
            <w:r w:rsidRPr="001554E7">
              <w:rPr>
                <w:sz w:val="24"/>
                <w:szCs w:val="24"/>
              </w:rPr>
              <w:t>555,1</w:t>
            </w:r>
          </w:p>
        </w:tc>
        <w:tc>
          <w:tcPr>
            <w:tcW w:w="992" w:type="dxa"/>
            <w:vAlign w:val="center"/>
          </w:tcPr>
          <w:p w:rsidR="008257BF" w:rsidRPr="001554E7" w:rsidRDefault="00EA6963" w:rsidP="006A30BA">
            <w:pPr>
              <w:pStyle w:val="Listparagraf"/>
              <w:tabs>
                <w:tab w:val="left" w:pos="426"/>
                <w:tab w:val="left" w:pos="1170"/>
              </w:tabs>
              <w:ind w:left="0"/>
              <w:jc w:val="center"/>
              <w:rPr>
                <w:sz w:val="24"/>
                <w:szCs w:val="24"/>
              </w:rPr>
            </w:pPr>
            <w:r w:rsidRPr="001554E7">
              <w:rPr>
                <w:sz w:val="24"/>
                <w:szCs w:val="24"/>
              </w:rPr>
              <w:t>51,0</w:t>
            </w:r>
          </w:p>
        </w:tc>
        <w:tc>
          <w:tcPr>
            <w:tcW w:w="1134" w:type="dxa"/>
            <w:vAlign w:val="center"/>
          </w:tcPr>
          <w:p w:rsidR="008257BF" w:rsidRPr="001554E7" w:rsidRDefault="00EA6963" w:rsidP="006A30BA">
            <w:pPr>
              <w:pStyle w:val="Listparagraf"/>
              <w:tabs>
                <w:tab w:val="left" w:pos="426"/>
                <w:tab w:val="left" w:pos="1170"/>
              </w:tabs>
              <w:ind w:left="0"/>
              <w:jc w:val="center"/>
              <w:rPr>
                <w:sz w:val="24"/>
                <w:szCs w:val="24"/>
              </w:rPr>
            </w:pPr>
            <w:r w:rsidRPr="001554E7">
              <w:rPr>
                <w:sz w:val="24"/>
                <w:szCs w:val="24"/>
              </w:rPr>
              <w:t>504,1</w:t>
            </w:r>
          </w:p>
        </w:tc>
      </w:tr>
      <w:tr w:rsidR="001554E7" w:rsidRPr="001554E7" w:rsidTr="006A30BA">
        <w:trPr>
          <w:trHeight w:val="402"/>
        </w:trPr>
        <w:tc>
          <w:tcPr>
            <w:tcW w:w="534" w:type="dxa"/>
            <w:vAlign w:val="center"/>
          </w:tcPr>
          <w:p w:rsidR="008257BF" w:rsidRPr="001554E7" w:rsidRDefault="008257BF" w:rsidP="006A30BA">
            <w:pPr>
              <w:pStyle w:val="Listparagraf"/>
              <w:tabs>
                <w:tab w:val="left" w:pos="426"/>
                <w:tab w:val="left" w:pos="1170"/>
              </w:tabs>
              <w:ind w:left="0"/>
              <w:jc w:val="both"/>
              <w:rPr>
                <w:sz w:val="24"/>
                <w:szCs w:val="24"/>
              </w:rPr>
            </w:pPr>
          </w:p>
        </w:tc>
        <w:tc>
          <w:tcPr>
            <w:tcW w:w="5703" w:type="dxa"/>
            <w:vAlign w:val="center"/>
          </w:tcPr>
          <w:p w:rsidR="008257BF" w:rsidRPr="001554E7" w:rsidRDefault="008257BF" w:rsidP="006A30BA">
            <w:pPr>
              <w:pStyle w:val="Listparagraf"/>
              <w:tabs>
                <w:tab w:val="left" w:pos="426"/>
                <w:tab w:val="left" w:pos="1170"/>
              </w:tabs>
              <w:ind w:left="0"/>
              <w:jc w:val="both"/>
              <w:rPr>
                <w:b/>
                <w:sz w:val="24"/>
                <w:szCs w:val="24"/>
              </w:rPr>
            </w:pPr>
            <w:r w:rsidRPr="001554E7">
              <w:rPr>
                <w:b/>
                <w:sz w:val="24"/>
                <w:szCs w:val="24"/>
              </w:rPr>
              <w:t>Total:</w:t>
            </w:r>
          </w:p>
        </w:tc>
        <w:tc>
          <w:tcPr>
            <w:tcW w:w="1418" w:type="dxa"/>
            <w:vAlign w:val="center"/>
          </w:tcPr>
          <w:p w:rsidR="008257BF" w:rsidRPr="001554E7" w:rsidRDefault="00EA6963" w:rsidP="003F6DF9">
            <w:pPr>
              <w:pStyle w:val="Listparagraf"/>
              <w:tabs>
                <w:tab w:val="left" w:pos="426"/>
                <w:tab w:val="left" w:pos="1170"/>
              </w:tabs>
              <w:ind w:left="0"/>
              <w:jc w:val="center"/>
              <w:rPr>
                <w:b/>
                <w:sz w:val="24"/>
                <w:szCs w:val="24"/>
              </w:rPr>
            </w:pPr>
            <w:r w:rsidRPr="001554E7">
              <w:rPr>
                <w:b/>
                <w:sz w:val="24"/>
                <w:szCs w:val="24"/>
              </w:rPr>
              <w:t>12898,0</w:t>
            </w:r>
          </w:p>
        </w:tc>
        <w:tc>
          <w:tcPr>
            <w:tcW w:w="992" w:type="dxa"/>
            <w:vAlign w:val="center"/>
          </w:tcPr>
          <w:p w:rsidR="008257BF" w:rsidRPr="001554E7" w:rsidRDefault="006D3BC1" w:rsidP="006A30BA">
            <w:pPr>
              <w:pStyle w:val="Listparagraf"/>
              <w:tabs>
                <w:tab w:val="left" w:pos="426"/>
                <w:tab w:val="left" w:pos="1170"/>
              </w:tabs>
              <w:ind w:left="0"/>
              <w:jc w:val="center"/>
              <w:rPr>
                <w:b/>
                <w:sz w:val="24"/>
                <w:szCs w:val="24"/>
              </w:rPr>
            </w:pPr>
            <w:r w:rsidRPr="001554E7">
              <w:rPr>
                <w:b/>
                <w:sz w:val="24"/>
                <w:szCs w:val="24"/>
              </w:rPr>
              <w:t>2032,1</w:t>
            </w:r>
          </w:p>
        </w:tc>
        <w:tc>
          <w:tcPr>
            <w:tcW w:w="1134" w:type="dxa"/>
            <w:vAlign w:val="center"/>
          </w:tcPr>
          <w:p w:rsidR="008257BF" w:rsidRPr="001554E7" w:rsidRDefault="006D3BC1" w:rsidP="006A30BA">
            <w:pPr>
              <w:pStyle w:val="Listparagraf"/>
              <w:tabs>
                <w:tab w:val="left" w:pos="426"/>
                <w:tab w:val="left" w:pos="1170"/>
              </w:tabs>
              <w:ind w:left="0"/>
              <w:jc w:val="center"/>
              <w:rPr>
                <w:b/>
                <w:sz w:val="24"/>
                <w:szCs w:val="24"/>
              </w:rPr>
            </w:pPr>
            <w:r w:rsidRPr="001554E7">
              <w:rPr>
                <w:b/>
                <w:sz w:val="24"/>
                <w:szCs w:val="24"/>
              </w:rPr>
              <w:t>10865,9</w:t>
            </w:r>
          </w:p>
        </w:tc>
      </w:tr>
    </w:tbl>
    <w:p w:rsidR="008257BF" w:rsidRPr="001554E7" w:rsidRDefault="008257BF" w:rsidP="008257BF">
      <w:pPr>
        <w:tabs>
          <w:tab w:val="left" w:pos="426"/>
          <w:tab w:val="left" w:pos="1170"/>
        </w:tabs>
        <w:jc w:val="both"/>
      </w:pPr>
      <w:r w:rsidRPr="001554E7">
        <w:tab/>
      </w:r>
    </w:p>
    <w:p w:rsidR="008257BF" w:rsidRPr="001554E7" w:rsidRDefault="008257BF" w:rsidP="000C18BF">
      <w:pPr>
        <w:tabs>
          <w:tab w:val="left" w:pos="426"/>
        </w:tabs>
        <w:jc w:val="both"/>
      </w:pPr>
      <w:r w:rsidRPr="001554E7">
        <w:tab/>
        <w:t>Executarea deciziilor menționate ține de perfectarea şi prezentarea documentelor, ce justifică achiziționarea lucrărilor, serviciilor, valorilor materiale de către beneficiarii obiectivelor reflectate în decizie.</w:t>
      </w:r>
      <w:r w:rsidR="003F6DF9" w:rsidRPr="001554E7">
        <w:t xml:space="preserve"> </w:t>
      </w:r>
    </w:p>
    <w:p w:rsidR="008257BF" w:rsidRPr="001554E7" w:rsidRDefault="008257BF" w:rsidP="000C18BF">
      <w:pPr>
        <w:tabs>
          <w:tab w:val="left" w:pos="426"/>
        </w:tabs>
        <w:ind w:firstLine="284"/>
        <w:jc w:val="both"/>
      </w:pPr>
      <w:r w:rsidRPr="001554E7">
        <w:tab/>
        <w:t xml:space="preserve">Un capitol aparte în procesul </w:t>
      </w:r>
      <w:r w:rsidR="000C18BF" w:rsidRPr="001554E7">
        <w:t>exercițiului</w:t>
      </w:r>
      <w:r w:rsidRPr="001554E7">
        <w:t xml:space="preserve"> bugetar constituie starea decontărilor cu furnizorii de bunuri și servicii. </w:t>
      </w:r>
      <w:r w:rsidR="00AD4EB4" w:rsidRPr="001554E7">
        <w:t xml:space="preserve">În baza informației prezentate de </w:t>
      </w:r>
      <w:r w:rsidRPr="001554E7">
        <w:t>instituţiile bugetare finanţate de la bugetul raional s-a constatat</w:t>
      </w:r>
      <w:r w:rsidR="00AD4EB4" w:rsidRPr="001554E7">
        <w:t>,</w:t>
      </w:r>
      <w:r w:rsidRPr="001554E7">
        <w:t xml:space="preserve"> că</w:t>
      </w:r>
      <w:r w:rsidR="00AD4EB4" w:rsidRPr="001554E7">
        <w:t xml:space="preserve"> la </w:t>
      </w:r>
      <w:r w:rsidR="000C18BF" w:rsidRPr="001554E7">
        <w:t>situația</w:t>
      </w:r>
      <w:r w:rsidR="00AD4EB4" w:rsidRPr="001554E7">
        <w:t xml:space="preserve"> din 3</w:t>
      </w:r>
      <w:r w:rsidR="006D3BC1" w:rsidRPr="001554E7">
        <w:t>0</w:t>
      </w:r>
      <w:r w:rsidR="00AD4EB4" w:rsidRPr="001554E7">
        <w:t>.</w:t>
      </w:r>
      <w:r w:rsidR="006D3BC1" w:rsidRPr="001554E7">
        <w:t>06</w:t>
      </w:r>
      <w:r w:rsidRPr="001554E7">
        <w:t>.20</w:t>
      </w:r>
      <w:r w:rsidR="006D3BC1" w:rsidRPr="001554E7">
        <w:t>20</w:t>
      </w:r>
      <w:r w:rsidRPr="001554E7">
        <w:t xml:space="preserve"> mijloace bugetare imobilizate în datorii debitoare se cifrează la suma de </w:t>
      </w:r>
      <w:r w:rsidR="00AD4EB4" w:rsidRPr="001554E7">
        <w:t>13</w:t>
      </w:r>
      <w:r w:rsidR="006D3BC1" w:rsidRPr="001554E7">
        <w:t>48,0</w:t>
      </w:r>
      <w:r w:rsidRPr="001554E7">
        <w:t xml:space="preserve"> mii lei dintre care:</w:t>
      </w:r>
    </w:p>
    <w:p w:rsidR="008257BF" w:rsidRPr="001554E7" w:rsidRDefault="008257BF" w:rsidP="000C18BF">
      <w:pPr>
        <w:pStyle w:val="Listparagraf"/>
        <w:numPr>
          <w:ilvl w:val="0"/>
          <w:numId w:val="1"/>
        </w:numPr>
        <w:tabs>
          <w:tab w:val="left" w:pos="284"/>
          <w:tab w:val="left" w:pos="426"/>
        </w:tabs>
        <w:ind w:left="0" w:firstLine="0"/>
        <w:jc w:val="both"/>
      </w:pPr>
      <w:r w:rsidRPr="001554E7">
        <w:t>478,8 mii lei - investiţii capitale şi 644,0 mii lei - alte cheltuieli curente</w:t>
      </w:r>
      <w:r w:rsidR="00AD4EB4" w:rsidRPr="001554E7">
        <w:t xml:space="preserve"> finanţate din grantul extern la</w:t>
      </w:r>
      <w:r w:rsidRPr="001554E7">
        <w:t xml:space="preserve"> proiectului transfrontalier „Managementul deşeurilor solide”;</w:t>
      </w:r>
    </w:p>
    <w:p w:rsidR="008257BF" w:rsidRPr="001554E7" w:rsidRDefault="009E0E1D" w:rsidP="000C18BF">
      <w:pPr>
        <w:pStyle w:val="Listparagraf"/>
        <w:numPr>
          <w:ilvl w:val="0"/>
          <w:numId w:val="1"/>
        </w:numPr>
        <w:tabs>
          <w:tab w:val="left" w:pos="284"/>
          <w:tab w:val="left" w:pos="426"/>
        </w:tabs>
        <w:ind w:left="0" w:firstLine="0"/>
        <w:jc w:val="both"/>
      </w:pPr>
      <w:r w:rsidRPr="001554E7">
        <w:t>41,7</w:t>
      </w:r>
      <w:r w:rsidR="008257BF" w:rsidRPr="001554E7">
        <w:t xml:space="preserve"> mii lei - pentru inventar de producere și gospodăresc (mobilier) (Gimnaziul Slobozia-Dușca); </w:t>
      </w:r>
    </w:p>
    <w:p w:rsidR="008257BF" w:rsidRPr="001554E7" w:rsidRDefault="006D3BC1" w:rsidP="000C18BF">
      <w:pPr>
        <w:pStyle w:val="Listparagraf"/>
        <w:numPr>
          <w:ilvl w:val="0"/>
          <w:numId w:val="1"/>
        </w:numPr>
        <w:tabs>
          <w:tab w:val="left" w:pos="284"/>
          <w:tab w:val="left" w:pos="426"/>
        </w:tabs>
        <w:ind w:left="0" w:firstLine="0"/>
        <w:jc w:val="both"/>
      </w:pPr>
      <w:r w:rsidRPr="001554E7">
        <w:lastRenderedPageBreak/>
        <w:t>52717,6</w:t>
      </w:r>
      <w:r w:rsidR="008257BF" w:rsidRPr="001554E7">
        <w:t xml:space="preserve"> mii lei – pentru carburanți/lubrifianți (Direcţia Educație – </w:t>
      </w:r>
      <w:r w:rsidRPr="001554E7">
        <w:t>19,1</w:t>
      </w:r>
      <w:r w:rsidR="008257BF" w:rsidRPr="001554E7">
        <w:t xml:space="preserve"> mii lei,</w:t>
      </w:r>
      <w:r w:rsidRPr="001554E7">
        <w:t xml:space="preserve"> </w:t>
      </w:r>
      <w:r w:rsidR="009E0E1D" w:rsidRPr="001554E7">
        <w:t xml:space="preserve">Liceul Mălăiești </w:t>
      </w:r>
      <w:r w:rsidR="008257BF" w:rsidRPr="001554E7">
        <w:t xml:space="preserve">– </w:t>
      </w:r>
      <w:r w:rsidRPr="001554E7">
        <w:t>15,2</w:t>
      </w:r>
      <w:r w:rsidR="008257BF" w:rsidRPr="001554E7">
        <w:t xml:space="preserve"> mii lei, gimnaziul Bălăbănești </w:t>
      </w:r>
      <w:r w:rsidR="009E0E1D" w:rsidRPr="001554E7">
        <w:t>–</w:t>
      </w:r>
      <w:r w:rsidR="008257BF" w:rsidRPr="001554E7">
        <w:t xml:space="preserve"> </w:t>
      </w:r>
      <w:r w:rsidRPr="001554E7">
        <w:t>1,9</w:t>
      </w:r>
      <w:r w:rsidR="008257BF" w:rsidRPr="001554E7">
        <w:t xml:space="preserve"> mii lei</w:t>
      </w:r>
      <w:r w:rsidRPr="001554E7">
        <w:t xml:space="preserve"> ș.a.</w:t>
      </w:r>
      <w:r w:rsidR="008257BF" w:rsidRPr="001554E7">
        <w:t xml:space="preserve">); </w:t>
      </w:r>
    </w:p>
    <w:p w:rsidR="008257BF" w:rsidRPr="001554E7" w:rsidRDefault="008257BF" w:rsidP="000C18BF">
      <w:pPr>
        <w:pStyle w:val="Listparagraf"/>
        <w:numPr>
          <w:ilvl w:val="0"/>
          <w:numId w:val="1"/>
        </w:numPr>
        <w:tabs>
          <w:tab w:val="left" w:pos="426"/>
        </w:tabs>
        <w:ind w:left="0" w:hanging="284"/>
        <w:jc w:val="both"/>
      </w:pPr>
      <w:r w:rsidRPr="001554E7">
        <w:t>35,0 mii lei – pentru serviciile judiciare (Consiliul Raional);</w:t>
      </w:r>
    </w:p>
    <w:p w:rsidR="009E0E1D" w:rsidRPr="001554E7" w:rsidRDefault="009E0E1D" w:rsidP="000C18BF">
      <w:pPr>
        <w:pStyle w:val="Listparagraf"/>
        <w:numPr>
          <w:ilvl w:val="0"/>
          <w:numId w:val="1"/>
        </w:numPr>
        <w:tabs>
          <w:tab w:val="left" w:pos="426"/>
        </w:tabs>
        <w:ind w:left="0" w:firstLine="0"/>
        <w:jc w:val="both"/>
      </w:pPr>
      <w:r w:rsidRPr="001554E7">
        <w:t>4</w:t>
      </w:r>
      <w:r w:rsidR="006D3BC1" w:rsidRPr="001554E7">
        <w:t>5</w:t>
      </w:r>
      <w:r w:rsidRPr="001554E7">
        <w:t>,3 mii lei – ajutoare bănești și compensații (Direcția Asistență Socială);</w:t>
      </w:r>
    </w:p>
    <w:p w:rsidR="008257BF" w:rsidRPr="001554E7" w:rsidRDefault="006D3BC1" w:rsidP="000C18BF">
      <w:pPr>
        <w:pStyle w:val="Listparagraf"/>
        <w:numPr>
          <w:ilvl w:val="0"/>
          <w:numId w:val="1"/>
        </w:numPr>
        <w:tabs>
          <w:tab w:val="left" w:pos="284"/>
          <w:tab w:val="left" w:pos="426"/>
        </w:tabs>
        <w:ind w:left="0" w:firstLine="0"/>
        <w:jc w:val="both"/>
      </w:pPr>
      <w:r w:rsidRPr="001554E7">
        <w:t>3,9</w:t>
      </w:r>
      <w:r w:rsidR="004C5058" w:rsidRPr="001554E7">
        <w:t xml:space="preserve"> mii lei –</w:t>
      </w:r>
      <w:r w:rsidRPr="001554E7">
        <w:t xml:space="preserve"> </w:t>
      </w:r>
      <w:r w:rsidR="004C5058" w:rsidRPr="001554E7">
        <w:t>pentru gazele naturale (</w:t>
      </w:r>
      <w:r w:rsidRPr="001554E7">
        <w:t xml:space="preserve">Direcția Educație) </w:t>
      </w:r>
      <w:r w:rsidR="004C5058" w:rsidRPr="001554E7">
        <w:t>ș.a.</w:t>
      </w:r>
    </w:p>
    <w:p w:rsidR="008257BF" w:rsidRPr="001554E7" w:rsidRDefault="008257BF" w:rsidP="000C18BF">
      <w:pPr>
        <w:tabs>
          <w:tab w:val="left" w:pos="426"/>
        </w:tabs>
        <w:jc w:val="both"/>
      </w:pPr>
      <w:r w:rsidRPr="001554E7">
        <w:t xml:space="preserve">Datoriile creditoare </w:t>
      </w:r>
      <w:r w:rsidR="004C5058" w:rsidRPr="001554E7">
        <w:t>acumulate</w:t>
      </w:r>
      <w:r w:rsidRPr="001554E7">
        <w:t xml:space="preserve"> de instituţiile bugetare finanţate de la bugetul raional la situaţia din </w:t>
      </w:r>
      <w:r w:rsidR="006D3BC1" w:rsidRPr="001554E7">
        <w:t>30.06</w:t>
      </w:r>
      <w:r w:rsidRPr="001554E7">
        <w:t>.20</w:t>
      </w:r>
      <w:r w:rsidR="006D3BC1" w:rsidRPr="001554E7">
        <w:t>20</w:t>
      </w:r>
      <w:r w:rsidRPr="001554E7">
        <w:t xml:space="preserve"> constituie </w:t>
      </w:r>
      <w:r w:rsidR="00BB3B9F" w:rsidRPr="001554E7">
        <w:t>13985,5</w:t>
      </w:r>
      <w:r w:rsidRPr="001554E7">
        <w:t xml:space="preserve"> mii lei, din care:</w:t>
      </w:r>
    </w:p>
    <w:p w:rsidR="008257BF" w:rsidRPr="001554E7" w:rsidRDefault="008257BF" w:rsidP="000C18BF">
      <w:pPr>
        <w:pStyle w:val="Listparagraf"/>
        <w:numPr>
          <w:ilvl w:val="0"/>
          <w:numId w:val="1"/>
        </w:numPr>
        <w:tabs>
          <w:tab w:val="left" w:pos="426"/>
        </w:tabs>
        <w:ind w:left="0" w:firstLine="0"/>
        <w:jc w:val="both"/>
      </w:pPr>
      <w:r w:rsidRPr="001554E7">
        <w:t xml:space="preserve">cheltuieli capitale – </w:t>
      </w:r>
      <w:r w:rsidR="004D6CB3" w:rsidRPr="001554E7">
        <w:t>13</w:t>
      </w:r>
      <w:r w:rsidR="00BB3B9F" w:rsidRPr="001554E7">
        <w:t xml:space="preserve">880,1 </w:t>
      </w:r>
      <w:r w:rsidRPr="001554E7">
        <w:t xml:space="preserve">mii lei, inclusiv 13376,6 mii lei, pentru lucrările efectuate la schimbarea ferestrelor şi uşilor în instituțiile de </w:t>
      </w:r>
      <w:r w:rsidR="00364264" w:rsidRPr="001554E7">
        <w:t>învățământ</w:t>
      </w:r>
      <w:r w:rsidRPr="001554E7">
        <w:t xml:space="preserve"> în anul 2014; </w:t>
      </w:r>
      <w:r w:rsidR="00BB3B9F" w:rsidRPr="001554E7">
        <w:t>503,5</w:t>
      </w:r>
      <w:r w:rsidRPr="001554E7">
        <w:t xml:space="preserve"> mii lei - datoriile anului curent pentru lucrările de reparaţii capitale a clădirilor acestora și procurarea mijloacelor fixe; </w:t>
      </w:r>
    </w:p>
    <w:p w:rsidR="00BB3B9F" w:rsidRPr="001554E7" w:rsidRDefault="00BB3B9F" w:rsidP="000C18BF">
      <w:pPr>
        <w:pStyle w:val="Listparagraf"/>
        <w:numPr>
          <w:ilvl w:val="0"/>
          <w:numId w:val="1"/>
        </w:numPr>
        <w:tabs>
          <w:tab w:val="left" w:pos="426"/>
          <w:tab w:val="left" w:pos="1170"/>
        </w:tabs>
        <w:ind w:left="0" w:firstLine="0"/>
        <w:jc w:val="both"/>
      </w:pPr>
      <w:r w:rsidRPr="001554E7">
        <w:t xml:space="preserve">combustibil, carburanți și lubrifianți – 32,9 mii lei; </w:t>
      </w:r>
    </w:p>
    <w:p w:rsidR="00BB3B9F" w:rsidRPr="001554E7" w:rsidRDefault="00BB3B9F" w:rsidP="000C18BF">
      <w:pPr>
        <w:pStyle w:val="Listparagraf"/>
        <w:numPr>
          <w:ilvl w:val="0"/>
          <w:numId w:val="1"/>
        </w:numPr>
        <w:tabs>
          <w:tab w:val="left" w:pos="426"/>
          <w:tab w:val="left" w:pos="1170"/>
        </w:tabs>
        <w:ind w:left="0" w:firstLine="0"/>
        <w:jc w:val="both"/>
      </w:pPr>
      <w:r w:rsidRPr="001554E7">
        <w:t>produse alimentare – 13,6 mii lei;</w:t>
      </w:r>
    </w:p>
    <w:p w:rsidR="00BB3B9F" w:rsidRPr="001554E7" w:rsidRDefault="00BB3B9F" w:rsidP="000C18BF">
      <w:pPr>
        <w:pStyle w:val="Listparagraf"/>
        <w:numPr>
          <w:ilvl w:val="0"/>
          <w:numId w:val="1"/>
        </w:numPr>
        <w:tabs>
          <w:tab w:val="left" w:pos="426"/>
          <w:tab w:val="left" w:pos="1170"/>
        </w:tabs>
        <w:ind w:left="0" w:firstLine="0"/>
        <w:jc w:val="both"/>
      </w:pPr>
      <w:r w:rsidRPr="001554E7">
        <w:t>servicii informaționale și de telecomunicație – 3,9 mii lei ș.a.</w:t>
      </w:r>
    </w:p>
    <w:p w:rsidR="008257BF" w:rsidRPr="001554E7" w:rsidRDefault="000C18BF" w:rsidP="000C18BF">
      <w:pPr>
        <w:pStyle w:val="Listparagraf"/>
        <w:tabs>
          <w:tab w:val="left" w:pos="426"/>
          <w:tab w:val="left" w:pos="1170"/>
        </w:tabs>
        <w:ind w:left="0"/>
        <w:jc w:val="both"/>
      </w:pPr>
      <w:r>
        <w:tab/>
      </w:r>
      <w:r w:rsidRPr="001554E7">
        <w:t>Luând</w:t>
      </w:r>
      <w:r w:rsidR="00C53589" w:rsidRPr="001554E7">
        <w:t xml:space="preserve"> în considerație, că suma datoriilor creditoare s-a </w:t>
      </w:r>
      <w:r w:rsidR="00BB3B9F" w:rsidRPr="001554E7">
        <w:t>diminuat</w:t>
      </w:r>
      <w:r w:rsidR="00C53589" w:rsidRPr="001554E7">
        <w:t xml:space="preserve"> comparativ cu situația la 01.01.20</w:t>
      </w:r>
      <w:r w:rsidR="00BB3B9F" w:rsidRPr="001554E7">
        <w:t>20</w:t>
      </w:r>
      <w:r w:rsidR="00C53589" w:rsidRPr="001554E7">
        <w:t xml:space="preserve"> cu </w:t>
      </w:r>
      <w:r w:rsidR="00BB3B9F" w:rsidRPr="001554E7">
        <w:t>126,1</w:t>
      </w:r>
      <w:r w:rsidR="00C53589" w:rsidRPr="001554E7">
        <w:t xml:space="preserve"> mii lei</w:t>
      </w:r>
      <w:r w:rsidR="008257BF" w:rsidRPr="001554E7">
        <w:t xml:space="preserve">, </w:t>
      </w:r>
      <w:r w:rsidRPr="001554E7">
        <w:t>totuși</w:t>
      </w:r>
      <w:r w:rsidR="00BB3B9F" w:rsidRPr="001554E7">
        <w:t xml:space="preserve"> </w:t>
      </w:r>
      <w:r w:rsidR="008257BF" w:rsidRPr="001554E7">
        <w:t xml:space="preserve">este necesar de a îmbunătăți starea lucrurilor. Se impune aplicarea de către toţi conducătorii instituţiilor bugetare finanţate de la bugetul raional a principiului </w:t>
      </w:r>
      <w:r w:rsidRPr="001554E7">
        <w:t>responsabilității</w:t>
      </w:r>
      <w:r w:rsidR="008257BF" w:rsidRPr="001554E7">
        <w:t xml:space="preserve"> şi controlului, întru minimalizarea datoriilor şi utilizarea eficientă a mijloacelor financiare alocate.</w:t>
      </w:r>
    </w:p>
    <w:p w:rsidR="008257BF" w:rsidRPr="001554E7" w:rsidRDefault="000C18BF" w:rsidP="00364264">
      <w:pPr>
        <w:tabs>
          <w:tab w:val="left" w:pos="338"/>
          <w:tab w:val="left" w:pos="426"/>
          <w:tab w:val="left" w:pos="1170"/>
        </w:tabs>
        <w:jc w:val="both"/>
      </w:pPr>
      <w:r>
        <w:tab/>
      </w:r>
      <w:r w:rsidR="008257BF" w:rsidRPr="001554E7">
        <w:t>Direcţia finanţe va solicita de la şefii direcţiilor, secţiilor, conducătorii instituţiilor bugetare finanţate de la bugetul raional să întreprindă măsuri eficiente întru diminuarea creanțelor și datoriilor creditoare admise.</w:t>
      </w:r>
    </w:p>
    <w:p w:rsidR="008257BF" w:rsidRPr="001554E7" w:rsidRDefault="008257BF" w:rsidP="000C18BF">
      <w:pPr>
        <w:tabs>
          <w:tab w:val="left" w:pos="1170"/>
        </w:tabs>
        <w:ind w:firstLine="284"/>
        <w:jc w:val="both"/>
        <w:rPr>
          <w:sz w:val="26"/>
          <w:szCs w:val="26"/>
        </w:rPr>
      </w:pPr>
    </w:p>
    <w:p w:rsidR="008257BF" w:rsidRPr="001554E7" w:rsidRDefault="008257BF" w:rsidP="000C18BF">
      <w:pPr>
        <w:tabs>
          <w:tab w:val="left" w:pos="426"/>
          <w:tab w:val="left" w:pos="1170"/>
        </w:tabs>
        <w:jc w:val="both"/>
      </w:pPr>
    </w:p>
    <w:p w:rsidR="008257BF" w:rsidRPr="001554E7" w:rsidRDefault="008257BF" w:rsidP="000C18BF">
      <w:pPr>
        <w:tabs>
          <w:tab w:val="left" w:pos="426"/>
          <w:tab w:val="left" w:pos="1170"/>
        </w:tabs>
        <w:jc w:val="both"/>
        <w:rPr>
          <w:b/>
        </w:rPr>
      </w:pPr>
      <w:r w:rsidRPr="001554E7">
        <w:rPr>
          <w:b/>
        </w:rPr>
        <w:t xml:space="preserve">Şef Direcţie  finanţe                                                                                </w:t>
      </w:r>
      <w:r w:rsidR="004D6CB3" w:rsidRPr="001554E7">
        <w:rPr>
          <w:b/>
        </w:rPr>
        <w:t>Olga Simon</w:t>
      </w:r>
    </w:p>
    <w:p w:rsidR="008257BF" w:rsidRPr="001554E7" w:rsidRDefault="008257BF" w:rsidP="000C18BF">
      <w:pPr>
        <w:tabs>
          <w:tab w:val="left" w:pos="426"/>
          <w:tab w:val="left" w:pos="1170"/>
        </w:tabs>
        <w:jc w:val="both"/>
        <w:rPr>
          <w:b/>
        </w:rPr>
      </w:pPr>
    </w:p>
    <w:p w:rsidR="008257BF" w:rsidRPr="001554E7" w:rsidRDefault="008257BF" w:rsidP="008257BF">
      <w:pPr>
        <w:tabs>
          <w:tab w:val="left" w:pos="426"/>
          <w:tab w:val="left" w:pos="1170"/>
        </w:tabs>
        <w:jc w:val="both"/>
        <w:rPr>
          <w:b/>
        </w:rPr>
      </w:pPr>
    </w:p>
    <w:p w:rsidR="00D87A3E" w:rsidRPr="001554E7" w:rsidRDefault="00D87A3E"/>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F1810" w:rsidRDefault="003F1810"/>
    <w:p w:rsidR="000C18BF" w:rsidRDefault="000C18BF"/>
    <w:p w:rsidR="000C18BF" w:rsidRDefault="000C18BF"/>
    <w:p w:rsidR="000C18BF" w:rsidRDefault="000C18BF"/>
    <w:p w:rsidR="000C18BF" w:rsidRDefault="000C18BF"/>
    <w:p w:rsidR="000C18BF" w:rsidRDefault="000C18BF"/>
    <w:p w:rsidR="000C18BF" w:rsidRDefault="000C18BF"/>
    <w:p w:rsidR="000C18BF" w:rsidRDefault="000C18BF"/>
    <w:p w:rsidR="000C18BF" w:rsidRPr="001554E7" w:rsidRDefault="000C18BF"/>
    <w:p w:rsidR="003F1810" w:rsidRPr="001554E7" w:rsidRDefault="003F1810"/>
    <w:p w:rsidR="003F1810" w:rsidRPr="001554E7" w:rsidRDefault="003F1810"/>
    <w:p w:rsidR="003F1810" w:rsidRPr="001554E7" w:rsidRDefault="003F1810"/>
    <w:p w:rsidR="003F1810" w:rsidRPr="001554E7" w:rsidRDefault="003F1810"/>
    <w:p w:rsidR="003F1810" w:rsidRPr="001554E7" w:rsidRDefault="003F1810"/>
    <w:p w:rsidR="00364264" w:rsidRDefault="00364264" w:rsidP="003F1810">
      <w:pPr>
        <w:jc w:val="right"/>
        <w:rPr>
          <w:sz w:val="22"/>
          <w:szCs w:val="22"/>
        </w:rPr>
      </w:pPr>
    </w:p>
    <w:p w:rsidR="00364264" w:rsidRDefault="00364264" w:rsidP="003F1810">
      <w:pPr>
        <w:jc w:val="right"/>
        <w:rPr>
          <w:sz w:val="22"/>
          <w:szCs w:val="22"/>
        </w:rPr>
      </w:pPr>
    </w:p>
    <w:p w:rsidR="00364264" w:rsidRDefault="00364264" w:rsidP="003F1810">
      <w:pPr>
        <w:jc w:val="right"/>
        <w:rPr>
          <w:sz w:val="22"/>
          <w:szCs w:val="22"/>
        </w:rPr>
      </w:pPr>
    </w:p>
    <w:p w:rsidR="003F1810" w:rsidRPr="001554E7" w:rsidRDefault="003F1810" w:rsidP="003F1810">
      <w:pPr>
        <w:jc w:val="right"/>
        <w:rPr>
          <w:sz w:val="22"/>
          <w:szCs w:val="22"/>
        </w:rPr>
      </w:pPr>
      <w:r w:rsidRPr="001554E7">
        <w:rPr>
          <w:sz w:val="22"/>
          <w:szCs w:val="22"/>
        </w:rPr>
        <w:lastRenderedPageBreak/>
        <w:t>Anexa nr.2</w:t>
      </w:r>
    </w:p>
    <w:p w:rsidR="003F1810" w:rsidRPr="001554E7" w:rsidRDefault="003F1810" w:rsidP="003F1810">
      <w:pPr>
        <w:tabs>
          <w:tab w:val="left" w:pos="426"/>
        </w:tabs>
        <w:jc w:val="right"/>
        <w:rPr>
          <w:sz w:val="22"/>
          <w:szCs w:val="22"/>
        </w:rPr>
      </w:pPr>
      <w:r w:rsidRPr="001554E7">
        <w:rPr>
          <w:sz w:val="22"/>
          <w:szCs w:val="22"/>
        </w:rPr>
        <w:t xml:space="preserve">la decizia Consiliului raional </w:t>
      </w:r>
    </w:p>
    <w:p w:rsidR="003F1810" w:rsidRPr="001554E7" w:rsidRDefault="003F1810" w:rsidP="003F1810">
      <w:pPr>
        <w:tabs>
          <w:tab w:val="left" w:pos="426"/>
        </w:tabs>
        <w:jc w:val="right"/>
        <w:rPr>
          <w:sz w:val="22"/>
          <w:szCs w:val="22"/>
        </w:rPr>
      </w:pPr>
      <w:r w:rsidRPr="001554E7">
        <w:rPr>
          <w:sz w:val="22"/>
          <w:szCs w:val="22"/>
        </w:rPr>
        <w:t>nr.____ din _________ 2020</w:t>
      </w:r>
    </w:p>
    <w:p w:rsidR="003F1810" w:rsidRPr="001554E7" w:rsidRDefault="003F1810" w:rsidP="003F1810">
      <w:pPr>
        <w:jc w:val="center"/>
        <w:rPr>
          <w:b/>
        </w:rPr>
      </w:pPr>
    </w:p>
    <w:p w:rsidR="003F1810" w:rsidRPr="001554E7" w:rsidRDefault="003F1810" w:rsidP="003F1810">
      <w:pPr>
        <w:jc w:val="center"/>
        <w:rPr>
          <w:b/>
        </w:rPr>
      </w:pPr>
      <w:r w:rsidRPr="001554E7">
        <w:rPr>
          <w:b/>
        </w:rPr>
        <w:t xml:space="preserve">Informație cu privire la executarea bugetului raional Criuleni </w:t>
      </w:r>
    </w:p>
    <w:p w:rsidR="003F1810" w:rsidRPr="001554E7" w:rsidRDefault="003F1810" w:rsidP="003F1810">
      <w:pPr>
        <w:jc w:val="center"/>
        <w:rPr>
          <w:b/>
        </w:rPr>
      </w:pPr>
      <w:r w:rsidRPr="001554E7">
        <w:rPr>
          <w:b/>
        </w:rPr>
        <w:t>la partea de venituri</w:t>
      </w:r>
      <w:r w:rsidR="00364264">
        <w:rPr>
          <w:b/>
        </w:rPr>
        <w:t xml:space="preserve"> și cheltuieli la situația din 30</w:t>
      </w:r>
      <w:r w:rsidRPr="001554E7">
        <w:rPr>
          <w:b/>
        </w:rPr>
        <w:t>.</w:t>
      </w:r>
      <w:r w:rsidR="00364264">
        <w:rPr>
          <w:b/>
        </w:rPr>
        <w:t>06</w:t>
      </w:r>
      <w:bookmarkStart w:id="0" w:name="_GoBack"/>
      <w:bookmarkEnd w:id="0"/>
      <w:r w:rsidRPr="001554E7">
        <w:rPr>
          <w:b/>
        </w:rPr>
        <w:t>.2020</w:t>
      </w:r>
    </w:p>
    <w:tbl>
      <w:tblPr>
        <w:tblStyle w:val="GrilTabel"/>
        <w:tblW w:w="9889" w:type="dxa"/>
        <w:tblLayout w:type="fixed"/>
        <w:tblLook w:val="04A0" w:firstRow="1" w:lastRow="0" w:firstColumn="1" w:lastColumn="0" w:noHBand="0" w:noVBand="1"/>
      </w:tblPr>
      <w:tblGrid>
        <w:gridCol w:w="3652"/>
        <w:gridCol w:w="992"/>
        <w:gridCol w:w="992"/>
        <w:gridCol w:w="1145"/>
        <w:gridCol w:w="1265"/>
        <w:gridCol w:w="993"/>
        <w:gridCol w:w="850"/>
      </w:tblGrid>
      <w:tr w:rsidR="003F1810" w:rsidRPr="001554E7" w:rsidTr="003F1810">
        <w:trPr>
          <w:trHeight w:val="283"/>
        </w:trPr>
        <w:tc>
          <w:tcPr>
            <w:tcW w:w="3652" w:type="dxa"/>
            <w:vMerge w:val="restart"/>
            <w:hideMark/>
          </w:tcPr>
          <w:p w:rsidR="003F1810" w:rsidRPr="001554E7" w:rsidRDefault="003F1810" w:rsidP="003F1810">
            <w:pPr>
              <w:rPr>
                <w:b/>
              </w:rPr>
            </w:pPr>
            <w:r w:rsidRPr="001554E7">
              <w:rPr>
                <w:b/>
              </w:rPr>
              <w:t> </w:t>
            </w:r>
          </w:p>
          <w:p w:rsidR="003F1810" w:rsidRPr="001554E7" w:rsidRDefault="003F1810" w:rsidP="003F1810">
            <w:pPr>
              <w:jc w:val="center"/>
              <w:rPr>
                <w:b/>
              </w:rPr>
            </w:pPr>
          </w:p>
          <w:p w:rsidR="003F1810" w:rsidRPr="001554E7" w:rsidRDefault="003F1810" w:rsidP="003F1810">
            <w:pPr>
              <w:jc w:val="center"/>
              <w:rPr>
                <w:b/>
              </w:rPr>
            </w:pPr>
            <w:r w:rsidRPr="001554E7">
              <w:rPr>
                <w:b/>
              </w:rPr>
              <w:t>Denumirea</w:t>
            </w:r>
          </w:p>
        </w:tc>
        <w:tc>
          <w:tcPr>
            <w:tcW w:w="992" w:type="dxa"/>
            <w:vMerge w:val="restart"/>
            <w:hideMark/>
          </w:tcPr>
          <w:p w:rsidR="003F1810" w:rsidRPr="001554E7" w:rsidRDefault="003F1810" w:rsidP="003F1810">
            <w:pPr>
              <w:rPr>
                <w:b/>
              </w:rPr>
            </w:pPr>
            <w:r w:rsidRPr="001554E7">
              <w:rPr>
                <w:b/>
              </w:rPr>
              <w:t> </w:t>
            </w:r>
          </w:p>
          <w:p w:rsidR="003F1810" w:rsidRPr="001554E7" w:rsidRDefault="003F1810" w:rsidP="003F1810">
            <w:pPr>
              <w:jc w:val="center"/>
              <w:rPr>
                <w:b/>
              </w:rPr>
            </w:pPr>
          </w:p>
          <w:p w:rsidR="003F1810" w:rsidRPr="001554E7" w:rsidRDefault="003F1810" w:rsidP="003F1810">
            <w:pPr>
              <w:jc w:val="center"/>
              <w:rPr>
                <w:b/>
              </w:rPr>
            </w:pPr>
            <w:r w:rsidRPr="001554E7">
              <w:rPr>
                <w:b/>
              </w:rPr>
              <w:t>Cod</w:t>
            </w:r>
          </w:p>
        </w:tc>
        <w:tc>
          <w:tcPr>
            <w:tcW w:w="5245" w:type="dxa"/>
            <w:gridSpan w:val="5"/>
            <w:noWrap/>
            <w:vAlign w:val="center"/>
            <w:hideMark/>
          </w:tcPr>
          <w:p w:rsidR="003F1810" w:rsidRPr="001554E7" w:rsidRDefault="003F1810" w:rsidP="003F1810">
            <w:pPr>
              <w:jc w:val="center"/>
              <w:rPr>
                <w:b/>
              </w:rPr>
            </w:pPr>
            <w:r w:rsidRPr="001554E7">
              <w:rPr>
                <w:b/>
                <w:bCs/>
                <w:szCs w:val="24"/>
              </w:rPr>
              <w:t xml:space="preserve">                             Venituri</w:t>
            </w:r>
            <w:r w:rsidRPr="001554E7">
              <w:rPr>
                <w:b/>
              </w:rPr>
              <w:t xml:space="preserve">                                </w:t>
            </w:r>
            <w:r w:rsidRPr="001554E7">
              <w:rPr>
                <w:b/>
                <w:sz w:val="20"/>
                <w:szCs w:val="20"/>
              </w:rPr>
              <w:t>mii lei</w:t>
            </w:r>
            <w:r w:rsidRPr="001554E7">
              <w:rPr>
                <w:b/>
              </w:rPr>
              <w:t xml:space="preserve">                                                                       </w:t>
            </w:r>
          </w:p>
        </w:tc>
      </w:tr>
      <w:tr w:rsidR="003F1810" w:rsidRPr="001554E7" w:rsidTr="003F1810">
        <w:trPr>
          <w:trHeight w:val="585"/>
        </w:trPr>
        <w:tc>
          <w:tcPr>
            <w:tcW w:w="3652" w:type="dxa"/>
            <w:vMerge/>
            <w:vAlign w:val="center"/>
            <w:hideMark/>
          </w:tcPr>
          <w:p w:rsidR="003F1810" w:rsidRPr="001554E7" w:rsidRDefault="003F1810" w:rsidP="003F1810">
            <w:pPr>
              <w:jc w:val="center"/>
              <w:rPr>
                <w:b/>
              </w:rPr>
            </w:pPr>
          </w:p>
        </w:tc>
        <w:tc>
          <w:tcPr>
            <w:tcW w:w="992" w:type="dxa"/>
            <w:vMerge/>
            <w:vAlign w:val="center"/>
            <w:hideMark/>
          </w:tcPr>
          <w:p w:rsidR="003F1810" w:rsidRPr="001554E7" w:rsidRDefault="003F1810" w:rsidP="003F1810">
            <w:pPr>
              <w:jc w:val="center"/>
              <w:rPr>
                <w:b/>
              </w:rPr>
            </w:pPr>
          </w:p>
        </w:tc>
        <w:tc>
          <w:tcPr>
            <w:tcW w:w="992" w:type="dxa"/>
            <w:vMerge w:val="restart"/>
            <w:vAlign w:val="center"/>
            <w:hideMark/>
          </w:tcPr>
          <w:p w:rsidR="003F1810" w:rsidRPr="001554E7" w:rsidRDefault="003F1810" w:rsidP="003F1810">
            <w:pPr>
              <w:ind w:hanging="108"/>
              <w:jc w:val="center"/>
              <w:rPr>
                <w:b/>
              </w:rPr>
            </w:pPr>
            <w:r w:rsidRPr="001554E7">
              <w:rPr>
                <w:b/>
              </w:rPr>
              <w:t>Aprobat</w:t>
            </w:r>
          </w:p>
        </w:tc>
        <w:tc>
          <w:tcPr>
            <w:tcW w:w="1145" w:type="dxa"/>
            <w:vMerge w:val="restart"/>
            <w:vAlign w:val="center"/>
            <w:hideMark/>
          </w:tcPr>
          <w:p w:rsidR="003F1810" w:rsidRPr="001554E7" w:rsidRDefault="003F1810" w:rsidP="003F1810">
            <w:pPr>
              <w:jc w:val="center"/>
              <w:rPr>
                <w:b/>
              </w:rPr>
            </w:pPr>
            <w:r w:rsidRPr="001554E7">
              <w:rPr>
                <w:b/>
              </w:rPr>
              <w:t xml:space="preserve">Precizat </w:t>
            </w:r>
          </w:p>
        </w:tc>
        <w:tc>
          <w:tcPr>
            <w:tcW w:w="1265" w:type="dxa"/>
            <w:vMerge w:val="restart"/>
            <w:vAlign w:val="center"/>
            <w:hideMark/>
          </w:tcPr>
          <w:p w:rsidR="003F1810" w:rsidRPr="001554E7" w:rsidRDefault="003F1810" w:rsidP="003F1810">
            <w:pPr>
              <w:ind w:right="-109"/>
              <w:jc w:val="center"/>
              <w:rPr>
                <w:b/>
              </w:rPr>
            </w:pPr>
            <w:r w:rsidRPr="001554E7">
              <w:rPr>
                <w:b/>
              </w:rPr>
              <w:t xml:space="preserve">Executat  </w:t>
            </w:r>
          </w:p>
        </w:tc>
        <w:tc>
          <w:tcPr>
            <w:tcW w:w="1843" w:type="dxa"/>
            <w:gridSpan w:val="2"/>
            <w:hideMark/>
          </w:tcPr>
          <w:p w:rsidR="003F1810" w:rsidRPr="001554E7" w:rsidRDefault="003F1810" w:rsidP="003F1810">
            <w:pPr>
              <w:jc w:val="center"/>
              <w:rPr>
                <w:b/>
              </w:rPr>
            </w:pPr>
            <w:r w:rsidRPr="001554E7">
              <w:rPr>
                <w:b/>
              </w:rPr>
              <w:t>Executat față de precizat</w:t>
            </w:r>
          </w:p>
        </w:tc>
      </w:tr>
      <w:tr w:rsidR="003F1810" w:rsidRPr="001554E7" w:rsidTr="003F1810">
        <w:trPr>
          <w:trHeight w:val="300"/>
        </w:trPr>
        <w:tc>
          <w:tcPr>
            <w:tcW w:w="3652" w:type="dxa"/>
            <w:vMerge/>
            <w:hideMark/>
          </w:tcPr>
          <w:p w:rsidR="003F1810" w:rsidRPr="001554E7" w:rsidRDefault="003F1810" w:rsidP="003F1810">
            <w:pPr>
              <w:jc w:val="center"/>
              <w:rPr>
                <w:b/>
              </w:rPr>
            </w:pPr>
          </w:p>
        </w:tc>
        <w:tc>
          <w:tcPr>
            <w:tcW w:w="992" w:type="dxa"/>
            <w:vMerge/>
            <w:hideMark/>
          </w:tcPr>
          <w:p w:rsidR="003F1810" w:rsidRPr="001554E7" w:rsidRDefault="003F1810" w:rsidP="003F1810">
            <w:pPr>
              <w:jc w:val="center"/>
              <w:rPr>
                <w:b/>
              </w:rPr>
            </w:pPr>
          </w:p>
        </w:tc>
        <w:tc>
          <w:tcPr>
            <w:tcW w:w="992" w:type="dxa"/>
            <w:vMerge/>
            <w:hideMark/>
          </w:tcPr>
          <w:p w:rsidR="003F1810" w:rsidRPr="001554E7" w:rsidRDefault="003F1810" w:rsidP="003F1810">
            <w:pPr>
              <w:jc w:val="center"/>
              <w:rPr>
                <w:b/>
              </w:rPr>
            </w:pPr>
          </w:p>
        </w:tc>
        <w:tc>
          <w:tcPr>
            <w:tcW w:w="1145" w:type="dxa"/>
            <w:vMerge/>
            <w:hideMark/>
          </w:tcPr>
          <w:p w:rsidR="003F1810" w:rsidRPr="001554E7" w:rsidRDefault="003F1810" w:rsidP="003F1810">
            <w:pPr>
              <w:jc w:val="center"/>
              <w:rPr>
                <w:b/>
              </w:rPr>
            </w:pPr>
          </w:p>
        </w:tc>
        <w:tc>
          <w:tcPr>
            <w:tcW w:w="1265" w:type="dxa"/>
            <w:vMerge/>
            <w:hideMark/>
          </w:tcPr>
          <w:p w:rsidR="003F1810" w:rsidRPr="001554E7" w:rsidRDefault="003F1810" w:rsidP="003F1810">
            <w:pPr>
              <w:jc w:val="center"/>
              <w:rPr>
                <w:b/>
              </w:rPr>
            </w:pPr>
          </w:p>
        </w:tc>
        <w:tc>
          <w:tcPr>
            <w:tcW w:w="993" w:type="dxa"/>
            <w:hideMark/>
          </w:tcPr>
          <w:p w:rsidR="003F1810" w:rsidRPr="001554E7" w:rsidRDefault="003F1810" w:rsidP="003F1810">
            <w:pPr>
              <w:jc w:val="center"/>
              <w:rPr>
                <w:b/>
              </w:rPr>
            </w:pPr>
            <w:r w:rsidRPr="001554E7">
              <w:rPr>
                <w:b/>
              </w:rPr>
              <w:t>devieri (+/-)</w:t>
            </w:r>
          </w:p>
        </w:tc>
        <w:tc>
          <w:tcPr>
            <w:tcW w:w="850" w:type="dxa"/>
            <w:hideMark/>
          </w:tcPr>
          <w:p w:rsidR="003F1810" w:rsidRPr="001554E7" w:rsidRDefault="003F1810" w:rsidP="003F1810">
            <w:pPr>
              <w:jc w:val="center"/>
              <w:rPr>
                <w:b/>
              </w:rPr>
            </w:pPr>
            <w:r w:rsidRPr="001554E7">
              <w:rPr>
                <w:b/>
              </w:rPr>
              <w:t>în %%</w:t>
            </w:r>
          </w:p>
        </w:tc>
      </w:tr>
      <w:tr w:rsidR="003F1810" w:rsidRPr="001554E7" w:rsidTr="003F1810">
        <w:trPr>
          <w:trHeight w:val="375"/>
        </w:trPr>
        <w:tc>
          <w:tcPr>
            <w:tcW w:w="3652" w:type="dxa"/>
            <w:hideMark/>
          </w:tcPr>
          <w:p w:rsidR="003F1810" w:rsidRPr="001554E7" w:rsidRDefault="003F1810" w:rsidP="003F1810">
            <w:r w:rsidRPr="001554E7">
              <w:t>Impozit pe venitul reținut din salariu</w:t>
            </w:r>
          </w:p>
        </w:tc>
        <w:tc>
          <w:tcPr>
            <w:tcW w:w="992" w:type="dxa"/>
            <w:noWrap/>
            <w:vAlign w:val="center"/>
            <w:hideMark/>
          </w:tcPr>
          <w:p w:rsidR="003F1810" w:rsidRPr="001554E7" w:rsidRDefault="003F1810" w:rsidP="003F1810">
            <w:pPr>
              <w:jc w:val="center"/>
              <w:rPr>
                <w:b/>
                <w:bCs/>
              </w:rPr>
            </w:pPr>
            <w:r w:rsidRPr="001554E7">
              <w:rPr>
                <w:b/>
                <w:bCs/>
              </w:rPr>
              <w:t>111110</w:t>
            </w:r>
          </w:p>
        </w:tc>
        <w:tc>
          <w:tcPr>
            <w:tcW w:w="992" w:type="dxa"/>
            <w:noWrap/>
            <w:vAlign w:val="center"/>
            <w:hideMark/>
          </w:tcPr>
          <w:p w:rsidR="003F1810" w:rsidRPr="001554E7" w:rsidRDefault="00C0320F" w:rsidP="003F1810">
            <w:pPr>
              <w:ind w:left="-28" w:right="-113"/>
              <w:jc w:val="center"/>
            </w:pPr>
            <w:r w:rsidRPr="001554E7">
              <w:t>2980,0</w:t>
            </w:r>
          </w:p>
        </w:tc>
        <w:tc>
          <w:tcPr>
            <w:tcW w:w="1145" w:type="dxa"/>
            <w:noWrap/>
            <w:vAlign w:val="center"/>
            <w:hideMark/>
          </w:tcPr>
          <w:p w:rsidR="003F1810" w:rsidRPr="001554E7" w:rsidRDefault="00C0320F" w:rsidP="003F1810">
            <w:pPr>
              <w:jc w:val="center"/>
            </w:pPr>
            <w:r w:rsidRPr="001554E7">
              <w:t>2980,0</w:t>
            </w:r>
          </w:p>
        </w:tc>
        <w:tc>
          <w:tcPr>
            <w:tcW w:w="1265" w:type="dxa"/>
            <w:noWrap/>
            <w:vAlign w:val="center"/>
            <w:hideMark/>
          </w:tcPr>
          <w:p w:rsidR="003F1810" w:rsidRPr="001554E7" w:rsidRDefault="00C0320F" w:rsidP="003F1810">
            <w:pPr>
              <w:jc w:val="center"/>
            </w:pPr>
            <w:r w:rsidRPr="001554E7">
              <w:t>1574,7</w:t>
            </w:r>
          </w:p>
        </w:tc>
        <w:tc>
          <w:tcPr>
            <w:tcW w:w="993" w:type="dxa"/>
            <w:noWrap/>
            <w:vAlign w:val="center"/>
            <w:hideMark/>
          </w:tcPr>
          <w:p w:rsidR="003F1810" w:rsidRPr="001554E7" w:rsidRDefault="00C0320F" w:rsidP="003F1810">
            <w:pPr>
              <w:jc w:val="center"/>
            </w:pPr>
            <w:r w:rsidRPr="001554E7">
              <w:t>-1405,3</w:t>
            </w:r>
          </w:p>
        </w:tc>
        <w:tc>
          <w:tcPr>
            <w:tcW w:w="850" w:type="dxa"/>
            <w:noWrap/>
            <w:vAlign w:val="center"/>
            <w:hideMark/>
          </w:tcPr>
          <w:p w:rsidR="003F1810" w:rsidRPr="001554E7" w:rsidRDefault="00C0320F" w:rsidP="003F1810">
            <w:pPr>
              <w:jc w:val="center"/>
            </w:pPr>
            <w:r w:rsidRPr="001554E7">
              <w:t>52,8</w:t>
            </w:r>
          </w:p>
        </w:tc>
      </w:tr>
      <w:tr w:rsidR="003F1810" w:rsidRPr="001554E7" w:rsidTr="003F1810">
        <w:trPr>
          <w:trHeight w:val="514"/>
        </w:trPr>
        <w:tc>
          <w:tcPr>
            <w:tcW w:w="3652" w:type="dxa"/>
            <w:hideMark/>
          </w:tcPr>
          <w:p w:rsidR="003F1810" w:rsidRPr="001554E7" w:rsidRDefault="003F1810" w:rsidP="003F1810">
            <w:r w:rsidRPr="001554E7">
              <w:t>Impozitul pe venitul persoanelor fizice spre plată/achitat</w:t>
            </w:r>
          </w:p>
        </w:tc>
        <w:tc>
          <w:tcPr>
            <w:tcW w:w="992" w:type="dxa"/>
            <w:noWrap/>
            <w:vAlign w:val="center"/>
            <w:hideMark/>
          </w:tcPr>
          <w:p w:rsidR="003F1810" w:rsidRPr="001554E7" w:rsidRDefault="003F1810" w:rsidP="003F1810">
            <w:pPr>
              <w:jc w:val="center"/>
              <w:rPr>
                <w:b/>
                <w:bCs/>
              </w:rPr>
            </w:pPr>
            <w:r w:rsidRPr="001554E7">
              <w:rPr>
                <w:b/>
                <w:bCs/>
              </w:rPr>
              <w:t>111121</w:t>
            </w:r>
          </w:p>
        </w:tc>
        <w:tc>
          <w:tcPr>
            <w:tcW w:w="992" w:type="dxa"/>
            <w:noWrap/>
            <w:vAlign w:val="center"/>
            <w:hideMark/>
          </w:tcPr>
          <w:p w:rsidR="003F1810" w:rsidRPr="001554E7" w:rsidRDefault="003D5BD5" w:rsidP="003F1810">
            <w:pPr>
              <w:ind w:left="-28" w:right="-113"/>
              <w:jc w:val="center"/>
            </w:pPr>
            <w:r w:rsidRPr="001554E7">
              <w:t>32,7</w:t>
            </w:r>
          </w:p>
        </w:tc>
        <w:tc>
          <w:tcPr>
            <w:tcW w:w="1145" w:type="dxa"/>
            <w:noWrap/>
            <w:vAlign w:val="center"/>
            <w:hideMark/>
          </w:tcPr>
          <w:p w:rsidR="003F1810" w:rsidRPr="001554E7" w:rsidRDefault="003D5BD5" w:rsidP="003F1810">
            <w:pPr>
              <w:jc w:val="center"/>
            </w:pPr>
            <w:r w:rsidRPr="001554E7">
              <w:t>32,7</w:t>
            </w:r>
          </w:p>
        </w:tc>
        <w:tc>
          <w:tcPr>
            <w:tcW w:w="1265" w:type="dxa"/>
            <w:noWrap/>
            <w:vAlign w:val="center"/>
            <w:hideMark/>
          </w:tcPr>
          <w:p w:rsidR="003F1810" w:rsidRPr="001554E7" w:rsidRDefault="003D5BD5" w:rsidP="003F1810">
            <w:pPr>
              <w:jc w:val="center"/>
            </w:pPr>
            <w:r w:rsidRPr="001554E7">
              <w:t>36,0</w:t>
            </w:r>
          </w:p>
        </w:tc>
        <w:tc>
          <w:tcPr>
            <w:tcW w:w="993" w:type="dxa"/>
            <w:noWrap/>
            <w:vAlign w:val="center"/>
            <w:hideMark/>
          </w:tcPr>
          <w:p w:rsidR="003F1810" w:rsidRPr="001554E7" w:rsidRDefault="003D5BD5" w:rsidP="003F1810">
            <w:pPr>
              <w:jc w:val="center"/>
            </w:pPr>
            <w:r w:rsidRPr="001554E7">
              <w:t>3,3</w:t>
            </w:r>
          </w:p>
        </w:tc>
        <w:tc>
          <w:tcPr>
            <w:tcW w:w="850" w:type="dxa"/>
            <w:noWrap/>
            <w:vAlign w:val="center"/>
            <w:hideMark/>
          </w:tcPr>
          <w:p w:rsidR="003F1810" w:rsidRPr="001554E7" w:rsidRDefault="003D5BD5" w:rsidP="003F1810">
            <w:pPr>
              <w:jc w:val="center"/>
            </w:pPr>
            <w:r w:rsidRPr="001554E7">
              <w:t>110,1</w:t>
            </w:r>
          </w:p>
        </w:tc>
      </w:tr>
      <w:tr w:rsidR="003F1810" w:rsidRPr="001554E7" w:rsidTr="003F1810">
        <w:trPr>
          <w:trHeight w:val="514"/>
        </w:trPr>
        <w:tc>
          <w:tcPr>
            <w:tcW w:w="3652" w:type="dxa"/>
            <w:hideMark/>
          </w:tcPr>
          <w:p w:rsidR="003F1810" w:rsidRPr="001554E7" w:rsidRDefault="003F1810" w:rsidP="003F1810">
            <w:r w:rsidRPr="001554E7">
              <w:t>Impozitul pe venitul persoanelor fizice în domeniul transportului rutier de persoane în regim de taxi</w:t>
            </w:r>
          </w:p>
        </w:tc>
        <w:tc>
          <w:tcPr>
            <w:tcW w:w="992" w:type="dxa"/>
            <w:noWrap/>
            <w:vAlign w:val="center"/>
            <w:hideMark/>
          </w:tcPr>
          <w:p w:rsidR="003F1810" w:rsidRPr="001554E7" w:rsidRDefault="003F1810" w:rsidP="003F1810">
            <w:pPr>
              <w:jc w:val="center"/>
              <w:rPr>
                <w:b/>
                <w:bCs/>
              </w:rPr>
            </w:pPr>
            <w:r w:rsidRPr="001554E7">
              <w:rPr>
                <w:b/>
                <w:bCs/>
              </w:rPr>
              <w:t>111125</w:t>
            </w:r>
          </w:p>
        </w:tc>
        <w:tc>
          <w:tcPr>
            <w:tcW w:w="992" w:type="dxa"/>
            <w:noWrap/>
            <w:vAlign w:val="center"/>
            <w:hideMark/>
          </w:tcPr>
          <w:p w:rsidR="003F1810" w:rsidRPr="001554E7" w:rsidRDefault="003D5BD5" w:rsidP="003F1810">
            <w:pPr>
              <w:ind w:left="-28" w:right="-113"/>
              <w:jc w:val="center"/>
            </w:pPr>
            <w:r w:rsidRPr="001554E7">
              <w:t>4,8</w:t>
            </w:r>
          </w:p>
        </w:tc>
        <w:tc>
          <w:tcPr>
            <w:tcW w:w="1145" w:type="dxa"/>
            <w:noWrap/>
            <w:vAlign w:val="center"/>
            <w:hideMark/>
          </w:tcPr>
          <w:p w:rsidR="003F1810" w:rsidRPr="001554E7" w:rsidRDefault="003D5BD5" w:rsidP="003F1810">
            <w:pPr>
              <w:jc w:val="center"/>
            </w:pPr>
            <w:r w:rsidRPr="001554E7">
              <w:t>4,8</w:t>
            </w:r>
          </w:p>
        </w:tc>
        <w:tc>
          <w:tcPr>
            <w:tcW w:w="1265" w:type="dxa"/>
            <w:noWrap/>
            <w:vAlign w:val="center"/>
            <w:hideMark/>
          </w:tcPr>
          <w:p w:rsidR="003F1810" w:rsidRPr="001554E7" w:rsidRDefault="003D5BD5" w:rsidP="003F1810">
            <w:pPr>
              <w:jc w:val="center"/>
            </w:pPr>
            <w:r w:rsidRPr="001554E7">
              <w:t>5,1</w:t>
            </w:r>
          </w:p>
        </w:tc>
        <w:tc>
          <w:tcPr>
            <w:tcW w:w="993" w:type="dxa"/>
            <w:noWrap/>
            <w:vAlign w:val="center"/>
            <w:hideMark/>
          </w:tcPr>
          <w:p w:rsidR="003F1810" w:rsidRPr="001554E7" w:rsidRDefault="003D5BD5" w:rsidP="003F1810">
            <w:pPr>
              <w:jc w:val="center"/>
            </w:pPr>
            <w:r w:rsidRPr="001554E7">
              <w:t>0,3</w:t>
            </w:r>
          </w:p>
        </w:tc>
        <w:tc>
          <w:tcPr>
            <w:tcW w:w="850" w:type="dxa"/>
            <w:noWrap/>
            <w:vAlign w:val="center"/>
            <w:hideMark/>
          </w:tcPr>
          <w:p w:rsidR="003F1810" w:rsidRPr="001554E7" w:rsidRDefault="003D5BD5" w:rsidP="003F1810">
            <w:pPr>
              <w:jc w:val="center"/>
            </w:pPr>
            <w:r w:rsidRPr="001554E7">
              <w:t>106,3</w:t>
            </w:r>
          </w:p>
        </w:tc>
      </w:tr>
      <w:tr w:rsidR="003F1810" w:rsidRPr="001554E7" w:rsidTr="003F1810">
        <w:trPr>
          <w:trHeight w:val="554"/>
        </w:trPr>
        <w:tc>
          <w:tcPr>
            <w:tcW w:w="3652" w:type="dxa"/>
            <w:hideMark/>
          </w:tcPr>
          <w:p w:rsidR="003F1810" w:rsidRPr="001554E7" w:rsidRDefault="003F1810" w:rsidP="003F1810">
            <w:r w:rsidRPr="001554E7">
              <w:t xml:space="preserve">Impozit pe venitul aferent operațiuni de predare în folosință a proprietății </w:t>
            </w:r>
          </w:p>
        </w:tc>
        <w:tc>
          <w:tcPr>
            <w:tcW w:w="992" w:type="dxa"/>
            <w:noWrap/>
            <w:vAlign w:val="center"/>
            <w:hideMark/>
          </w:tcPr>
          <w:p w:rsidR="003F1810" w:rsidRPr="001554E7" w:rsidRDefault="003F1810" w:rsidP="003F1810">
            <w:pPr>
              <w:jc w:val="center"/>
              <w:rPr>
                <w:b/>
                <w:bCs/>
              </w:rPr>
            </w:pPr>
            <w:r w:rsidRPr="001554E7">
              <w:rPr>
                <w:b/>
                <w:bCs/>
              </w:rPr>
              <w:t>111130</w:t>
            </w:r>
          </w:p>
        </w:tc>
        <w:tc>
          <w:tcPr>
            <w:tcW w:w="992" w:type="dxa"/>
            <w:noWrap/>
            <w:vAlign w:val="center"/>
            <w:hideMark/>
          </w:tcPr>
          <w:p w:rsidR="003F1810" w:rsidRPr="001554E7" w:rsidRDefault="003D5BD5" w:rsidP="003F1810">
            <w:pPr>
              <w:ind w:left="-28" w:right="-113"/>
              <w:jc w:val="center"/>
            </w:pPr>
            <w:r w:rsidRPr="001554E7">
              <w:t>7,2</w:t>
            </w:r>
          </w:p>
        </w:tc>
        <w:tc>
          <w:tcPr>
            <w:tcW w:w="1145" w:type="dxa"/>
            <w:noWrap/>
            <w:vAlign w:val="center"/>
            <w:hideMark/>
          </w:tcPr>
          <w:p w:rsidR="003F1810" w:rsidRPr="001554E7" w:rsidRDefault="003D5BD5" w:rsidP="003F1810">
            <w:pPr>
              <w:jc w:val="center"/>
            </w:pPr>
            <w:r w:rsidRPr="001554E7">
              <w:t>7,2</w:t>
            </w:r>
          </w:p>
        </w:tc>
        <w:tc>
          <w:tcPr>
            <w:tcW w:w="1265" w:type="dxa"/>
            <w:noWrap/>
            <w:vAlign w:val="center"/>
            <w:hideMark/>
          </w:tcPr>
          <w:p w:rsidR="003F1810" w:rsidRPr="001554E7" w:rsidRDefault="003D5BD5" w:rsidP="003F1810">
            <w:pPr>
              <w:jc w:val="center"/>
            </w:pPr>
            <w:r w:rsidRPr="001554E7">
              <w:t>19,0</w:t>
            </w:r>
          </w:p>
        </w:tc>
        <w:tc>
          <w:tcPr>
            <w:tcW w:w="993" w:type="dxa"/>
            <w:noWrap/>
            <w:vAlign w:val="center"/>
            <w:hideMark/>
          </w:tcPr>
          <w:p w:rsidR="003F1810" w:rsidRPr="001554E7" w:rsidRDefault="003D5BD5" w:rsidP="003F1810">
            <w:pPr>
              <w:jc w:val="center"/>
            </w:pPr>
            <w:r w:rsidRPr="001554E7">
              <w:t>11,8</w:t>
            </w:r>
          </w:p>
        </w:tc>
        <w:tc>
          <w:tcPr>
            <w:tcW w:w="850" w:type="dxa"/>
            <w:noWrap/>
            <w:vAlign w:val="center"/>
            <w:hideMark/>
          </w:tcPr>
          <w:p w:rsidR="003F1810" w:rsidRPr="001554E7" w:rsidRDefault="003D5BD5" w:rsidP="003F1810">
            <w:pPr>
              <w:jc w:val="center"/>
            </w:pPr>
            <w:r w:rsidRPr="001554E7">
              <w:t>263,9</w:t>
            </w:r>
          </w:p>
        </w:tc>
      </w:tr>
      <w:tr w:rsidR="003F1810" w:rsidRPr="001554E7" w:rsidTr="003F1810">
        <w:trPr>
          <w:trHeight w:val="325"/>
        </w:trPr>
        <w:tc>
          <w:tcPr>
            <w:tcW w:w="3652" w:type="dxa"/>
            <w:hideMark/>
          </w:tcPr>
          <w:p w:rsidR="003F1810" w:rsidRPr="001554E7" w:rsidRDefault="003F1810" w:rsidP="003F1810">
            <w:r w:rsidRPr="001554E7">
              <w:t>Taxa pentru apa</w:t>
            </w:r>
          </w:p>
        </w:tc>
        <w:tc>
          <w:tcPr>
            <w:tcW w:w="992" w:type="dxa"/>
            <w:noWrap/>
            <w:vAlign w:val="center"/>
            <w:hideMark/>
          </w:tcPr>
          <w:p w:rsidR="003F1810" w:rsidRPr="001554E7" w:rsidRDefault="003F1810" w:rsidP="003F1810">
            <w:pPr>
              <w:jc w:val="center"/>
              <w:rPr>
                <w:b/>
                <w:bCs/>
              </w:rPr>
            </w:pPr>
            <w:r w:rsidRPr="001554E7">
              <w:rPr>
                <w:b/>
                <w:bCs/>
              </w:rPr>
              <w:t>114611</w:t>
            </w:r>
          </w:p>
        </w:tc>
        <w:tc>
          <w:tcPr>
            <w:tcW w:w="992" w:type="dxa"/>
            <w:noWrap/>
            <w:vAlign w:val="center"/>
            <w:hideMark/>
          </w:tcPr>
          <w:p w:rsidR="003F1810" w:rsidRPr="001554E7" w:rsidRDefault="003D5BD5" w:rsidP="003F1810">
            <w:pPr>
              <w:ind w:left="-28" w:right="-113"/>
              <w:jc w:val="center"/>
            </w:pPr>
            <w:r w:rsidRPr="001554E7">
              <w:t>9580,0</w:t>
            </w:r>
          </w:p>
        </w:tc>
        <w:tc>
          <w:tcPr>
            <w:tcW w:w="1145" w:type="dxa"/>
            <w:noWrap/>
            <w:vAlign w:val="center"/>
            <w:hideMark/>
          </w:tcPr>
          <w:p w:rsidR="003F1810" w:rsidRPr="001554E7" w:rsidRDefault="003D5BD5" w:rsidP="003F1810">
            <w:pPr>
              <w:jc w:val="center"/>
            </w:pPr>
            <w:r w:rsidRPr="001554E7">
              <w:t>9580,0</w:t>
            </w:r>
          </w:p>
        </w:tc>
        <w:tc>
          <w:tcPr>
            <w:tcW w:w="1265" w:type="dxa"/>
            <w:noWrap/>
            <w:vAlign w:val="center"/>
            <w:hideMark/>
          </w:tcPr>
          <w:p w:rsidR="003F1810" w:rsidRPr="001554E7" w:rsidRDefault="003D5BD5" w:rsidP="003F1810">
            <w:pPr>
              <w:jc w:val="center"/>
            </w:pPr>
            <w:r w:rsidRPr="001554E7">
              <w:t>4585,6</w:t>
            </w:r>
          </w:p>
        </w:tc>
        <w:tc>
          <w:tcPr>
            <w:tcW w:w="993" w:type="dxa"/>
            <w:noWrap/>
            <w:vAlign w:val="center"/>
            <w:hideMark/>
          </w:tcPr>
          <w:p w:rsidR="003F1810" w:rsidRPr="001554E7" w:rsidRDefault="003D5BD5" w:rsidP="003F1810">
            <w:pPr>
              <w:ind w:right="-108"/>
            </w:pPr>
            <w:r w:rsidRPr="001554E7">
              <w:t>-4994,4</w:t>
            </w:r>
          </w:p>
        </w:tc>
        <w:tc>
          <w:tcPr>
            <w:tcW w:w="850" w:type="dxa"/>
            <w:noWrap/>
            <w:vAlign w:val="center"/>
            <w:hideMark/>
          </w:tcPr>
          <w:p w:rsidR="003F1810" w:rsidRPr="001554E7" w:rsidRDefault="003D5BD5" w:rsidP="003F1810">
            <w:pPr>
              <w:jc w:val="center"/>
            </w:pPr>
            <w:r w:rsidRPr="001554E7">
              <w:t>47,9</w:t>
            </w:r>
          </w:p>
        </w:tc>
      </w:tr>
      <w:tr w:rsidR="003F1810" w:rsidRPr="001554E7" w:rsidTr="003F1810">
        <w:trPr>
          <w:trHeight w:val="375"/>
        </w:trPr>
        <w:tc>
          <w:tcPr>
            <w:tcW w:w="3652" w:type="dxa"/>
            <w:hideMark/>
          </w:tcPr>
          <w:p w:rsidR="003F1810" w:rsidRPr="001554E7" w:rsidRDefault="003F1810" w:rsidP="003F1810">
            <w:r w:rsidRPr="001554E7">
              <w:t>Taxa pentru extragerea mineralelor utile</w:t>
            </w:r>
          </w:p>
        </w:tc>
        <w:tc>
          <w:tcPr>
            <w:tcW w:w="992" w:type="dxa"/>
            <w:noWrap/>
            <w:vAlign w:val="center"/>
            <w:hideMark/>
          </w:tcPr>
          <w:p w:rsidR="003F1810" w:rsidRPr="001554E7" w:rsidRDefault="003F1810" w:rsidP="003F1810">
            <w:pPr>
              <w:jc w:val="center"/>
              <w:rPr>
                <w:b/>
                <w:bCs/>
              </w:rPr>
            </w:pPr>
            <w:r w:rsidRPr="001554E7">
              <w:rPr>
                <w:b/>
                <w:bCs/>
              </w:rPr>
              <w:t>114612</w:t>
            </w:r>
          </w:p>
        </w:tc>
        <w:tc>
          <w:tcPr>
            <w:tcW w:w="992" w:type="dxa"/>
            <w:noWrap/>
            <w:vAlign w:val="center"/>
            <w:hideMark/>
          </w:tcPr>
          <w:p w:rsidR="003F1810" w:rsidRPr="001554E7" w:rsidRDefault="003D5BD5" w:rsidP="003F1810">
            <w:pPr>
              <w:ind w:left="-28" w:right="-113"/>
              <w:jc w:val="center"/>
            </w:pPr>
            <w:r w:rsidRPr="001554E7">
              <w:t>780,0</w:t>
            </w:r>
          </w:p>
        </w:tc>
        <w:tc>
          <w:tcPr>
            <w:tcW w:w="1145" w:type="dxa"/>
            <w:noWrap/>
            <w:vAlign w:val="center"/>
            <w:hideMark/>
          </w:tcPr>
          <w:p w:rsidR="003F1810" w:rsidRPr="001554E7" w:rsidRDefault="003D5BD5" w:rsidP="003F1810">
            <w:pPr>
              <w:jc w:val="center"/>
            </w:pPr>
            <w:r w:rsidRPr="001554E7">
              <w:t>780,0</w:t>
            </w:r>
          </w:p>
        </w:tc>
        <w:tc>
          <w:tcPr>
            <w:tcW w:w="1265" w:type="dxa"/>
            <w:noWrap/>
            <w:vAlign w:val="center"/>
            <w:hideMark/>
          </w:tcPr>
          <w:p w:rsidR="003F1810" w:rsidRPr="001554E7" w:rsidRDefault="003D5BD5" w:rsidP="003F1810">
            <w:pPr>
              <w:jc w:val="center"/>
            </w:pPr>
            <w:r w:rsidRPr="001554E7">
              <w:t>373,2</w:t>
            </w:r>
          </w:p>
        </w:tc>
        <w:tc>
          <w:tcPr>
            <w:tcW w:w="993" w:type="dxa"/>
            <w:noWrap/>
            <w:vAlign w:val="center"/>
            <w:hideMark/>
          </w:tcPr>
          <w:p w:rsidR="003F1810" w:rsidRPr="001554E7" w:rsidRDefault="003D5BD5" w:rsidP="003F1810">
            <w:pPr>
              <w:jc w:val="center"/>
            </w:pPr>
            <w:r w:rsidRPr="001554E7">
              <w:t>-406,8</w:t>
            </w:r>
          </w:p>
        </w:tc>
        <w:tc>
          <w:tcPr>
            <w:tcW w:w="850" w:type="dxa"/>
            <w:noWrap/>
            <w:vAlign w:val="center"/>
            <w:hideMark/>
          </w:tcPr>
          <w:p w:rsidR="003F1810" w:rsidRPr="001554E7" w:rsidRDefault="003D5BD5" w:rsidP="003F1810">
            <w:pPr>
              <w:jc w:val="center"/>
            </w:pPr>
            <w:r w:rsidRPr="001554E7">
              <w:t>47,8</w:t>
            </w:r>
          </w:p>
        </w:tc>
      </w:tr>
      <w:tr w:rsidR="003F1810" w:rsidRPr="001554E7" w:rsidTr="003F1810">
        <w:trPr>
          <w:trHeight w:val="315"/>
        </w:trPr>
        <w:tc>
          <w:tcPr>
            <w:tcW w:w="3652" w:type="dxa"/>
            <w:hideMark/>
          </w:tcPr>
          <w:p w:rsidR="003F1810" w:rsidRPr="001554E7" w:rsidRDefault="003F1810" w:rsidP="003F1810">
            <w:r w:rsidRPr="001554E7">
              <w:t>Taxa pentru lemnul eliberat pe picior</w:t>
            </w:r>
          </w:p>
        </w:tc>
        <w:tc>
          <w:tcPr>
            <w:tcW w:w="992" w:type="dxa"/>
            <w:noWrap/>
            <w:vAlign w:val="center"/>
            <w:hideMark/>
          </w:tcPr>
          <w:p w:rsidR="003F1810" w:rsidRPr="001554E7" w:rsidRDefault="003F1810" w:rsidP="003F1810">
            <w:pPr>
              <w:jc w:val="center"/>
              <w:rPr>
                <w:b/>
                <w:bCs/>
              </w:rPr>
            </w:pPr>
            <w:r w:rsidRPr="001554E7">
              <w:rPr>
                <w:b/>
                <w:bCs/>
              </w:rPr>
              <w:t>114613</w:t>
            </w:r>
          </w:p>
        </w:tc>
        <w:tc>
          <w:tcPr>
            <w:tcW w:w="992" w:type="dxa"/>
            <w:noWrap/>
            <w:vAlign w:val="center"/>
            <w:hideMark/>
          </w:tcPr>
          <w:p w:rsidR="003F1810" w:rsidRPr="001554E7" w:rsidRDefault="003D5BD5" w:rsidP="003F1810">
            <w:pPr>
              <w:ind w:left="-28" w:right="-113"/>
              <w:jc w:val="center"/>
            </w:pPr>
            <w:r w:rsidRPr="001554E7">
              <w:t>8,8</w:t>
            </w:r>
          </w:p>
        </w:tc>
        <w:tc>
          <w:tcPr>
            <w:tcW w:w="1145" w:type="dxa"/>
            <w:noWrap/>
            <w:vAlign w:val="center"/>
            <w:hideMark/>
          </w:tcPr>
          <w:p w:rsidR="003F1810" w:rsidRPr="001554E7" w:rsidRDefault="003D5BD5" w:rsidP="003F1810">
            <w:pPr>
              <w:jc w:val="center"/>
            </w:pPr>
            <w:r w:rsidRPr="001554E7">
              <w:t>8,8</w:t>
            </w:r>
          </w:p>
        </w:tc>
        <w:tc>
          <w:tcPr>
            <w:tcW w:w="1265" w:type="dxa"/>
            <w:noWrap/>
            <w:vAlign w:val="center"/>
            <w:hideMark/>
          </w:tcPr>
          <w:p w:rsidR="003F1810" w:rsidRPr="001554E7" w:rsidRDefault="003D5BD5" w:rsidP="003F1810">
            <w:pPr>
              <w:jc w:val="center"/>
            </w:pPr>
            <w:r w:rsidRPr="001554E7">
              <w:t>4,1</w:t>
            </w:r>
          </w:p>
        </w:tc>
        <w:tc>
          <w:tcPr>
            <w:tcW w:w="993" w:type="dxa"/>
            <w:noWrap/>
            <w:vAlign w:val="center"/>
            <w:hideMark/>
          </w:tcPr>
          <w:p w:rsidR="003F1810" w:rsidRPr="001554E7" w:rsidRDefault="003D5BD5" w:rsidP="003F1810">
            <w:pPr>
              <w:jc w:val="center"/>
            </w:pPr>
            <w:r w:rsidRPr="001554E7">
              <w:t>-4,7</w:t>
            </w:r>
          </w:p>
        </w:tc>
        <w:tc>
          <w:tcPr>
            <w:tcW w:w="850" w:type="dxa"/>
            <w:noWrap/>
            <w:vAlign w:val="center"/>
            <w:hideMark/>
          </w:tcPr>
          <w:p w:rsidR="003F1810" w:rsidRPr="001554E7" w:rsidRDefault="003D5BD5" w:rsidP="003F1810">
            <w:pPr>
              <w:jc w:val="center"/>
            </w:pPr>
            <w:r w:rsidRPr="001554E7">
              <w:t>46,6</w:t>
            </w:r>
          </w:p>
        </w:tc>
      </w:tr>
      <w:tr w:rsidR="003F1810" w:rsidRPr="001554E7" w:rsidTr="003F1810">
        <w:trPr>
          <w:trHeight w:val="600"/>
        </w:trPr>
        <w:tc>
          <w:tcPr>
            <w:tcW w:w="3652" w:type="dxa"/>
            <w:hideMark/>
          </w:tcPr>
          <w:p w:rsidR="003F1810" w:rsidRPr="001554E7" w:rsidRDefault="003F1810" w:rsidP="003F1810">
            <w:r w:rsidRPr="001554E7">
              <w:t>Taxa la cumpărarea valutei străine de persoane fizice în case  schimb valutar</w:t>
            </w:r>
          </w:p>
        </w:tc>
        <w:tc>
          <w:tcPr>
            <w:tcW w:w="992" w:type="dxa"/>
            <w:noWrap/>
            <w:vAlign w:val="center"/>
            <w:hideMark/>
          </w:tcPr>
          <w:p w:rsidR="003F1810" w:rsidRPr="001554E7" w:rsidRDefault="003F1810" w:rsidP="003F1810">
            <w:pPr>
              <w:jc w:val="center"/>
              <w:rPr>
                <w:b/>
                <w:bCs/>
              </w:rPr>
            </w:pPr>
            <w:r w:rsidRPr="001554E7">
              <w:rPr>
                <w:b/>
                <w:bCs/>
              </w:rPr>
              <w:t>142245</w:t>
            </w:r>
          </w:p>
        </w:tc>
        <w:tc>
          <w:tcPr>
            <w:tcW w:w="992" w:type="dxa"/>
            <w:noWrap/>
            <w:vAlign w:val="center"/>
            <w:hideMark/>
          </w:tcPr>
          <w:p w:rsidR="003F1810" w:rsidRPr="001554E7" w:rsidRDefault="003D5BD5" w:rsidP="003F1810">
            <w:pPr>
              <w:ind w:left="-28" w:right="-113"/>
              <w:jc w:val="center"/>
            </w:pPr>
            <w:r w:rsidRPr="001554E7">
              <w:t>60,0</w:t>
            </w:r>
          </w:p>
        </w:tc>
        <w:tc>
          <w:tcPr>
            <w:tcW w:w="1145" w:type="dxa"/>
            <w:noWrap/>
            <w:vAlign w:val="center"/>
            <w:hideMark/>
          </w:tcPr>
          <w:p w:rsidR="003F1810" w:rsidRPr="001554E7" w:rsidRDefault="003D5BD5" w:rsidP="003F1810">
            <w:pPr>
              <w:jc w:val="center"/>
            </w:pPr>
            <w:r w:rsidRPr="001554E7">
              <w:t>60,0</w:t>
            </w:r>
          </w:p>
        </w:tc>
        <w:tc>
          <w:tcPr>
            <w:tcW w:w="1265" w:type="dxa"/>
            <w:noWrap/>
            <w:vAlign w:val="center"/>
            <w:hideMark/>
          </w:tcPr>
          <w:p w:rsidR="003F1810" w:rsidRPr="001554E7" w:rsidRDefault="003D5BD5" w:rsidP="003F1810">
            <w:pPr>
              <w:jc w:val="center"/>
            </w:pPr>
            <w:r w:rsidRPr="001554E7">
              <w:t>26,1</w:t>
            </w:r>
          </w:p>
        </w:tc>
        <w:tc>
          <w:tcPr>
            <w:tcW w:w="993" w:type="dxa"/>
            <w:noWrap/>
            <w:vAlign w:val="center"/>
            <w:hideMark/>
          </w:tcPr>
          <w:p w:rsidR="003F1810" w:rsidRPr="001554E7" w:rsidRDefault="003D5BD5" w:rsidP="003F1810">
            <w:pPr>
              <w:jc w:val="center"/>
            </w:pPr>
            <w:r w:rsidRPr="001554E7">
              <w:t>-33,9</w:t>
            </w:r>
          </w:p>
        </w:tc>
        <w:tc>
          <w:tcPr>
            <w:tcW w:w="850" w:type="dxa"/>
            <w:noWrap/>
            <w:vAlign w:val="center"/>
            <w:hideMark/>
          </w:tcPr>
          <w:p w:rsidR="003F1810" w:rsidRPr="001554E7" w:rsidRDefault="003D5BD5" w:rsidP="003F1810">
            <w:pPr>
              <w:jc w:val="center"/>
            </w:pPr>
            <w:r w:rsidRPr="001554E7">
              <w:t>43,5</w:t>
            </w:r>
          </w:p>
        </w:tc>
      </w:tr>
      <w:tr w:rsidR="003F1810" w:rsidRPr="001554E7" w:rsidTr="003F1810">
        <w:trPr>
          <w:trHeight w:val="345"/>
        </w:trPr>
        <w:tc>
          <w:tcPr>
            <w:tcW w:w="3652" w:type="dxa"/>
            <w:hideMark/>
          </w:tcPr>
          <w:p w:rsidR="003F1810" w:rsidRPr="001554E7" w:rsidRDefault="003F1810" w:rsidP="003F1810">
            <w:r w:rsidRPr="001554E7">
              <w:t>Încasări de la prestarea serviciilor cu plată</w:t>
            </w:r>
          </w:p>
        </w:tc>
        <w:tc>
          <w:tcPr>
            <w:tcW w:w="992" w:type="dxa"/>
            <w:noWrap/>
            <w:vAlign w:val="center"/>
            <w:hideMark/>
          </w:tcPr>
          <w:p w:rsidR="003F1810" w:rsidRPr="001554E7" w:rsidRDefault="003F1810" w:rsidP="003F1810">
            <w:pPr>
              <w:jc w:val="center"/>
              <w:rPr>
                <w:b/>
                <w:bCs/>
              </w:rPr>
            </w:pPr>
            <w:r w:rsidRPr="001554E7">
              <w:rPr>
                <w:b/>
                <w:bCs/>
              </w:rPr>
              <w:t>142310</w:t>
            </w:r>
          </w:p>
        </w:tc>
        <w:tc>
          <w:tcPr>
            <w:tcW w:w="992" w:type="dxa"/>
            <w:noWrap/>
            <w:vAlign w:val="center"/>
            <w:hideMark/>
          </w:tcPr>
          <w:p w:rsidR="003F1810" w:rsidRPr="001554E7" w:rsidRDefault="003D5BD5" w:rsidP="003F1810">
            <w:pPr>
              <w:ind w:left="-28" w:right="-113"/>
              <w:jc w:val="center"/>
            </w:pPr>
            <w:r w:rsidRPr="001554E7">
              <w:t>1108,6</w:t>
            </w:r>
          </w:p>
        </w:tc>
        <w:tc>
          <w:tcPr>
            <w:tcW w:w="1145" w:type="dxa"/>
            <w:noWrap/>
            <w:vAlign w:val="center"/>
            <w:hideMark/>
          </w:tcPr>
          <w:p w:rsidR="003F1810" w:rsidRPr="001554E7" w:rsidRDefault="003D5BD5" w:rsidP="003F1810">
            <w:pPr>
              <w:jc w:val="center"/>
            </w:pPr>
            <w:r w:rsidRPr="001554E7">
              <w:t>1141,0</w:t>
            </w:r>
          </w:p>
        </w:tc>
        <w:tc>
          <w:tcPr>
            <w:tcW w:w="1265" w:type="dxa"/>
            <w:noWrap/>
            <w:vAlign w:val="center"/>
            <w:hideMark/>
          </w:tcPr>
          <w:p w:rsidR="003F1810" w:rsidRPr="001554E7" w:rsidRDefault="003D5BD5" w:rsidP="003F1810">
            <w:pPr>
              <w:jc w:val="center"/>
            </w:pPr>
            <w:r w:rsidRPr="001554E7">
              <w:t>370,6</w:t>
            </w:r>
          </w:p>
        </w:tc>
        <w:tc>
          <w:tcPr>
            <w:tcW w:w="993" w:type="dxa"/>
            <w:noWrap/>
            <w:vAlign w:val="center"/>
            <w:hideMark/>
          </w:tcPr>
          <w:p w:rsidR="003F1810" w:rsidRPr="001554E7" w:rsidRDefault="003D5BD5" w:rsidP="003F1810">
            <w:pPr>
              <w:jc w:val="center"/>
            </w:pPr>
            <w:r w:rsidRPr="001554E7">
              <w:t>-770,4</w:t>
            </w:r>
          </w:p>
        </w:tc>
        <w:tc>
          <w:tcPr>
            <w:tcW w:w="850" w:type="dxa"/>
            <w:noWrap/>
            <w:vAlign w:val="center"/>
            <w:hideMark/>
          </w:tcPr>
          <w:p w:rsidR="003F1810" w:rsidRPr="001554E7" w:rsidRDefault="003D5BD5" w:rsidP="003F1810">
            <w:pPr>
              <w:jc w:val="center"/>
            </w:pPr>
            <w:r w:rsidRPr="001554E7">
              <w:t>32,5</w:t>
            </w:r>
          </w:p>
        </w:tc>
      </w:tr>
      <w:tr w:rsidR="003F1810" w:rsidRPr="001554E7" w:rsidTr="003F1810">
        <w:trPr>
          <w:trHeight w:val="424"/>
        </w:trPr>
        <w:tc>
          <w:tcPr>
            <w:tcW w:w="3652" w:type="dxa"/>
            <w:hideMark/>
          </w:tcPr>
          <w:p w:rsidR="003F1810" w:rsidRPr="001554E7" w:rsidRDefault="003F1810" w:rsidP="003F1810">
            <w:r w:rsidRPr="001554E7">
              <w:t>Plata pentru locațiunea bunurilor patrimoniului public</w:t>
            </w:r>
          </w:p>
        </w:tc>
        <w:tc>
          <w:tcPr>
            <w:tcW w:w="992" w:type="dxa"/>
            <w:noWrap/>
            <w:vAlign w:val="center"/>
            <w:hideMark/>
          </w:tcPr>
          <w:p w:rsidR="003F1810" w:rsidRPr="001554E7" w:rsidRDefault="003F1810" w:rsidP="003F1810">
            <w:pPr>
              <w:jc w:val="center"/>
              <w:rPr>
                <w:b/>
                <w:bCs/>
              </w:rPr>
            </w:pPr>
            <w:r w:rsidRPr="001554E7">
              <w:rPr>
                <w:b/>
                <w:bCs/>
              </w:rPr>
              <w:t>142320</w:t>
            </w:r>
          </w:p>
        </w:tc>
        <w:tc>
          <w:tcPr>
            <w:tcW w:w="992" w:type="dxa"/>
            <w:noWrap/>
            <w:vAlign w:val="center"/>
            <w:hideMark/>
          </w:tcPr>
          <w:p w:rsidR="003F1810" w:rsidRPr="001554E7" w:rsidRDefault="003D5BD5" w:rsidP="003F1810">
            <w:pPr>
              <w:ind w:left="-28" w:right="-113"/>
              <w:jc w:val="center"/>
            </w:pPr>
            <w:r w:rsidRPr="001554E7">
              <w:t>165,8</w:t>
            </w:r>
          </w:p>
        </w:tc>
        <w:tc>
          <w:tcPr>
            <w:tcW w:w="1145" w:type="dxa"/>
            <w:noWrap/>
            <w:vAlign w:val="center"/>
            <w:hideMark/>
          </w:tcPr>
          <w:p w:rsidR="003F1810" w:rsidRPr="001554E7" w:rsidRDefault="003D5BD5" w:rsidP="003F1810">
            <w:pPr>
              <w:jc w:val="center"/>
            </w:pPr>
            <w:r w:rsidRPr="001554E7">
              <w:t>165,8</w:t>
            </w:r>
          </w:p>
        </w:tc>
        <w:tc>
          <w:tcPr>
            <w:tcW w:w="1265" w:type="dxa"/>
            <w:noWrap/>
            <w:vAlign w:val="center"/>
            <w:hideMark/>
          </w:tcPr>
          <w:p w:rsidR="003F1810" w:rsidRPr="001554E7" w:rsidRDefault="003D5BD5" w:rsidP="003F1810">
            <w:pPr>
              <w:jc w:val="center"/>
            </w:pPr>
            <w:r w:rsidRPr="001554E7">
              <w:t>80,2</w:t>
            </w:r>
          </w:p>
        </w:tc>
        <w:tc>
          <w:tcPr>
            <w:tcW w:w="993" w:type="dxa"/>
            <w:noWrap/>
            <w:vAlign w:val="center"/>
            <w:hideMark/>
          </w:tcPr>
          <w:p w:rsidR="003F1810" w:rsidRPr="001554E7" w:rsidRDefault="003D5BD5" w:rsidP="003F1810">
            <w:pPr>
              <w:jc w:val="center"/>
            </w:pPr>
            <w:r w:rsidRPr="001554E7">
              <w:t>-85,6</w:t>
            </w:r>
          </w:p>
        </w:tc>
        <w:tc>
          <w:tcPr>
            <w:tcW w:w="850" w:type="dxa"/>
            <w:noWrap/>
            <w:vAlign w:val="center"/>
            <w:hideMark/>
          </w:tcPr>
          <w:p w:rsidR="003F1810" w:rsidRPr="001554E7" w:rsidRDefault="003D5BD5" w:rsidP="003F1810">
            <w:pPr>
              <w:jc w:val="center"/>
            </w:pPr>
            <w:r w:rsidRPr="001554E7">
              <w:t>48,4</w:t>
            </w:r>
          </w:p>
        </w:tc>
      </w:tr>
      <w:tr w:rsidR="003F1810" w:rsidRPr="001554E7" w:rsidTr="003F1810">
        <w:trPr>
          <w:trHeight w:val="555"/>
        </w:trPr>
        <w:tc>
          <w:tcPr>
            <w:tcW w:w="3652" w:type="dxa"/>
            <w:hideMark/>
          </w:tcPr>
          <w:p w:rsidR="003F1810" w:rsidRPr="001554E7" w:rsidRDefault="003F1810" w:rsidP="003F1810">
            <w:r w:rsidRPr="001554E7">
              <w:t>Amenzi și sancțiuni contravenționale încasate în bugetul local de nivelul 2</w:t>
            </w:r>
          </w:p>
        </w:tc>
        <w:tc>
          <w:tcPr>
            <w:tcW w:w="992" w:type="dxa"/>
            <w:noWrap/>
            <w:vAlign w:val="center"/>
            <w:hideMark/>
          </w:tcPr>
          <w:p w:rsidR="003F1810" w:rsidRPr="001554E7" w:rsidRDefault="003F1810" w:rsidP="003F1810">
            <w:pPr>
              <w:jc w:val="center"/>
              <w:rPr>
                <w:b/>
                <w:bCs/>
              </w:rPr>
            </w:pPr>
            <w:r w:rsidRPr="001554E7">
              <w:rPr>
                <w:b/>
                <w:bCs/>
              </w:rPr>
              <w:t>143120</w:t>
            </w:r>
          </w:p>
        </w:tc>
        <w:tc>
          <w:tcPr>
            <w:tcW w:w="992" w:type="dxa"/>
            <w:noWrap/>
            <w:vAlign w:val="center"/>
            <w:hideMark/>
          </w:tcPr>
          <w:p w:rsidR="003F1810" w:rsidRPr="001554E7" w:rsidRDefault="003D5BD5" w:rsidP="003F1810">
            <w:pPr>
              <w:ind w:left="-28" w:right="-113"/>
              <w:jc w:val="center"/>
            </w:pPr>
            <w:r w:rsidRPr="001554E7">
              <w:t>4,0</w:t>
            </w:r>
          </w:p>
        </w:tc>
        <w:tc>
          <w:tcPr>
            <w:tcW w:w="1145" w:type="dxa"/>
            <w:noWrap/>
            <w:vAlign w:val="center"/>
            <w:hideMark/>
          </w:tcPr>
          <w:p w:rsidR="003F1810" w:rsidRPr="001554E7" w:rsidRDefault="003D5BD5" w:rsidP="003F1810">
            <w:pPr>
              <w:jc w:val="center"/>
            </w:pPr>
            <w:r w:rsidRPr="001554E7">
              <w:t>4,0</w:t>
            </w:r>
          </w:p>
        </w:tc>
        <w:tc>
          <w:tcPr>
            <w:tcW w:w="1265" w:type="dxa"/>
            <w:noWrap/>
            <w:vAlign w:val="center"/>
            <w:hideMark/>
          </w:tcPr>
          <w:p w:rsidR="003F1810" w:rsidRPr="001554E7" w:rsidRDefault="003D5BD5" w:rsidP="003F1810">
            <w:pPr>
              <w:jc w:val="center"/>
            </w:pPr>
            <w:r w:rsidRPr="001554E7">
              <w:t>4,3</w:t>
            </w:r>
          </w:p>
        </w:tc>
        <w:tc>
          <w:tcPr>
            <w:tcW w:w="993" w:type="dxa"/>
            <w:noWrap/>
            <w:vAlign w:val="center"/>
            <w:hideMark/>
          </w:tcPr>
          <w:p w:rsidR="003F1810" w:rsidRPr="001554E7" w:rsidRDefault="003D5BD5" w:rsidP="00A33464">
            <w:pPr>
              <w:jc w:val="center"/>
            </w:pPr>
            <w:r w:rsidRPr="001554E7">
              <w:t>0,3</w:t>
            </w:r>
          </w:p>
        </w:tc>
        <w:tc>
          <w:tcPr>
            <w:tcW w:w="850" w:type="dxa"/>
            <w:noWrap/>
            <w:vAlign w:val="center"/>
            <w:hideMark/>
          </w:tcPr>
          <w:p w:rsidR="003F1810" w:rsidRPr="001554E7" w:rsidRDefault="003D5BD5" w:rsidP="003F1810">
            <w:pPr>
              <w:jc w:val="center"/>
            </w:pPr>
            <w:r w:rsidRPr="001554E7">
              <w:t>107,5</w:t>
            </w:r>
          </w:p>
        </w:tc>
      </w:tr>
      <w:tr w:rsidR="003F1810" w:rsidRPr="001554E7" w:rsidTr="003F1810">
        <w:trPr>
          <w:trHeight w:val="615"/>
        </w:trPr>
        <w:tc>
          <w:tcPr>
            <w:tcW w:w="3652" w:type="dxa"/>
            <w:hideMark/>
          </w:tcPr>
          <w:p w:rsidR="003F1810" w:rsidRPr="001554E7" w:rsidRDefault="003F1810" w:rsidP="003F1810">
            <w:r w:rsidRPr="001554E7">
              <w:t>Donații voluntare pentru cheltuieli curente din surse interne pentru instituțiile bugetare</w:t>
            </w:r>
          </w:p>
        </w:tc>
        <w:tc>
          <w:tcPr>
            <w:tcW w:w="992" w:type="dxa"/>
            <w:noWrap/>
            <w:vAlign w:val="center"/>
            <w:hideMark/>
          </w:tcPr>
          <w:p w:rsidR="003F1810" w:rsidRPr="001554E7" w:rsidRDefault="003F1810" w:rsidP="003F1810">
            <w:pPr>
              <w:jc w:val="center"/>
              <w:rPr>
                <w:b/>
                <w:bCs/>
              </w:rPr>
            </w:pPr>
            <w:r w:rsidRPr="001554E7">
              <w:rPr>
                <w:b/>
                <w:bCs/>
              </w:rPr>
              <w:t>144114</w:t>
            </w:r>
          </w:p>
        </w:tc>
        <w:tc>
          <w:tcPr>
            <w:tcW w:w="992" w:type="dxa"/>
            <w:noWrap/>
            <w:vAlign w:val="center"/>
            <w:hideMark/>
          </w:tcPr>
          <w:p w:rsidR="003F1810" w:rsidRPr="001554E7" w:rsidRDefault="003F1810" w:rsidP="003F1810">
            <w:pPr>
              <w:ind w:left="-28" w:right="-113"/>
              <w:jc w:val="center"/>
            </w:pPr>
          </w:p>
        </w:tc>
        <w:tc>
          <w:tcPr>
            <w:tcW w:w="1145" w:type="dxa"/>
            <w:noWrap/>
            <w:vAlign w:val="center"/>
            <w:hideMark/>
          </w:tcPr>
          <w:p w:rsidR="003F1810" w:rsidRPr="001554E7" w:rsidRDefault="003D5BD5" w:rsidP="003F1810">
            <w:pPr>
              <w:jc w:val="center"/>
            </w:pPr>
            <w:r w:rsidRPr="001554E7">
              <w:t>18,9</w:t>
            </w:r>
          </w:p>
        </w:tc>
        <w:tc>
          <w:tcPr>
            <w:tcW w:w="1265" w:type="dxa"/>
            <w:noWrap/>
            <w:vAlign w:val="center"/>
            <w:hideMark/>
          </w:tcPr>
          <w:p w:rsidR="003F1810" w:rsidRPr="001554E7" w:rsidRDefault="003D5BD5" w:rsidP="003F1810">
            <w:pPr>
              <w:jc w:val="center"/>
            </w:pPr>
            <w:r w:rsidRPr="001554E7">
              <w:t>10,6</w:t>
            </w:r>
          </w:p>
        </w:tc>
        <w:tc>
          <w:tcPr>
            <w:tcW w:w="993" w:type="dxa"/>
            <w:noWrap/>
            <w:vAlign w:val="center"/>
            <w:hideMark/>
          </w:tcPr>
          <w:p w:rsidR="003F1810" w:rsidRPr="001554E7" w:rsidRDefault="003D5BD5" w:rsidP="00A33464">
            <w:pPr>
              <w:jc w:val="center"/>
            </w:pPr>
            <w:r w:rsidRPr="001554E7">
              <w:t>-8,3</w:t>
            </w:r>
          </w:p>
        </w:tc>
        <w:tc>
          <w:tcPr>
            <w:tcW w:w="850" w:type="dxa"/>
            <w:noWrap/>
            <w:vAlign w:val="center"/>
            <w:hideMark/>
          </w:tcPr>
          <w:p w:rsidR="003F1810" w:rsidRPr="001554E7" w:rsidRDefault="003D5BD5" w:rsidP="003F1810">
            <w:pPr>
              <w:jc w:val="center"/>
            </w:pPr>
            <w:r w:rsidRPr="001554E7">
              <w:t>56,1</w:t>
            </w:r>
          </w:p>
        </w:tc>
      </w:tr>
      <w:tr w:rsidR="003F1810" w:rsidRPr="001554E7" w:rsidTr="003F1810">
        <w:trPr>
          <w:trHeight w:val="570"/>
        </w:trPr>
        <w:tc>
          <w:tcPr>
            <w:tcW w:w="3652" w:type="dxa"/>
            <w:hideMark/>
          </w:tcPr>
          <w:p w:rsidR="003F1810" w:rsidRPr="001554E7" w:rsidRDefault="003D5BD5" w:rsidP="003F1810">
            <w:r w:rsidRPr="001554E7">
              <w:t>Venituri neidentificate ale bugetelor locale de nivelul 2</w:t>
            </w:r>
          </w:p>
        </w:tc>
        <w:tc>
          <w:tcPr>
            <w:tcW w:w="992" w:type="dxa"/>
            <w:noWrap/>
            <w:vAlign w:val="center"/>
            <w:hideMark/>
          </w:tcPr>
          <w:p w:rsidR="003F1810" w:rsidRPr="001554E7" w:rsidRDefault="003F1810" w:rsidP="003D5BD5">
            <w:pPr>
              <w:jc w:val="center"/>
              <w:rPr>
                <w:b/>
                <w:bCs/>
              </w:rPr>
            </w:pPr>
            <w:r w:rsidRPr="001554E7">
              <w:rPr>
                <w:b/>
                <w:bCs/>
              </w:rPr>
              <w:t>14</w:t>
            </w:r>
            <w:r w:rsidR="003D5BD5" w:rsidRPr="001554E7">
              <w:rPr>
                <w:b/>
                <w:bCs/>
              </w:rPr>
              <w:t>5241</w:t>
            </w:r>
          </w:p>
        </w:tc>
        <w:tc>
          <w:tcPr>
            <w:tcW w:w="992" w:type="dxa"/>
            <w:noWrap/>
            <w:vAlign w:val="center"/>
            <w:hideMark/>
          </w:tcPr>
          <w:p w:rsidR="003F1810" w:rsidRPr="001554E7" w:rsidRDefault="003F1810" w:rsidP="003F1810">
            <w:pPr>
              <w:ind w:left="-28" w:right="-113"/>
              <w:jc w:val="center"/>
            </w:pPr>
          </w:p>
        </w:tc>
        <w:tc>
          <w:tcPr>
            <w:tcW w:w="1145" w:type="dxa"/>
            <w:noWrap/>
            <w:vAlign w:val="center"/>
            <w:hideMark/>
          </w:tcPr>
          <w:p w:rsidR="003F1810" w:rsidRPr="001554E7" w:rsidRDefault="003F1810" w:rsidP="003F1810">
            <w:pPr>
              <w:jc w:val="center"/>
            </w:pPr>
          </w:p>
        </w:tc>
        <w:tc>
          <w:tcPr>
            <w:tcW w:w="1265" w:type="dxa"/>
            <w:noWrap/>
            <w:vAlign w:val="center"/>
            <w:hideMark/>
          </w:tcPr>
          <w:p w:rsidR="003F1810" w:rsidRPr="001554E7" w:rsidRDefault="003D5BD5" w:rsidP="003F1810">
            <w:pPr>
              <w:jc w:val="center"/>
            </w:pPr>
            <w:r w:rsidRPr="001554E7">
              <w:t>16,3</w:t>
            </w:r>
          </w:p>
        </w:tc>
        <w:tc>
          <w:tcPr>
            <w:tcW w:w="993" w:type="dxa"/>
            <w:noWrap/>
            <w:vAlign w:val="center"/>
            <w:hideMark/>
          </w:tcPr>
          <w:p w:rsidR="003F1810" w:rsidRPr="001554E7" w:rsidRDefault="003D5BD5" w:rsidP="003F1810">
            <w:pPr>
              <w:ind w:hanging="108"/>
              <w:jc w:val="center"/>
            </w:pPr>
            <w:r w:rsidRPr="001554E7">
              <w:t>16,3</w:t>
            </w:r>
          </w:p>
        </w:tc>
        <w:tc>
          <w:tcPr>
            <w:tcW w:w="850" w:type="dxa"/>
            <w:noWrap/>
            <w:vAlign w:val="center"/>
            <w:hideMark/>
          </w:tcPr>
          <w:p w:rsidR="003F1810" w:rsidRPr="001554E7" w:rsidRDefault="003F1810" w:rsidP="003F1810">
            <w:pPr>
              <w:jc w:val="center"/>
            </w:pPr>
          </w:p>
        </w:tc>
      </w:tr>
      <w:tr w:rsidR="003F1810" w:rsidRPr="001554E7" w:rsidTr="003F1810">
        <w:trPr>
          <w:trHeight w:val="1249"/>
        </w:trPr>
        <w:tc>
          <w:tcPr>
            <w:tcW w:w="3652" w:type="dxa"/>
            <w:hideMark/>
          </w:tcPr>
          <w:p w:rsidR="003F1810" w:rsidRPr="001554E7" w:rsidRDefault="003F1810" w:rsidP="003F1810">
            <w:r w:rsidRPr="001554E7">
              <w:t xml:space="preserve">Transferuri curente primite cu destinație specială între bugetul de stat și bugetele locale de nivelul 2 pentru </w:t>
            </w:r>
            <w:r w:rsidR="000C18BF" w:rsidRPr="001554E7">
              <w:t>învățământul</w:t>
            </w:r>
            <w:r w:rsidRPr="001554E7">
              <w:t xml:space="preserve"> preșcolar, primar, secundar general, special si extrașcolar</w:t>
            </w:r>
          </w:p>
        </w:tc>
        <w:tc>
          <w:tcPr>
            <w:tcW w:w="992" w:type="dxa"/>
            <w:noWrap/>
            <w:vAlign w:val="center"/>
            <w:hideMark/>
          </w:tcPr>
          <w:p w:rsidR="003F1810" w:rsidRPr="001554E7" w:rsidRDefault="003F1810" w:rsidP="003F1810">
            <w:pPr>
              <w:jc w:val="center"/>
              <w:rPr>
                <w:b/>
                <w:bCs/>
              </w:rPr>
            </w:pPr>
            <w:r w:rsidRPr="001554E7">
              <w:rPr>
                <w:b/>
                <w:bCs/>
              </w:rPr>
              <w:t>191111</w:t>
            </w:r>
          </w:p>
        </w:tc>
        <w:tc>
          <w:tcPr>
            <w:tcW w:w="992" w:type="dxa"/>
            <w:noWrap/>
            <w:vAlign w:val="center"/>
            <w:hideMark/>
          </w:tcPr>
          <w:p w:rsidR="003F1810" w:rsidRPr="001554E7" w:rsidRDefault="003D5BD5" w:rsidP="003F1810">
            <w:pPr>
              <w:ind w:left="-28" w:right="-113"/>
              <w:jc w:val="center"/>
            </w:pPr>
            <w:r w:rsidRPr="001554E7">
              <w:t>127893,4</w:t>
            </w:r>
          </w:p>
        </w:tc>
        <w:tc>
          <w:tcPr>
            <w:tcW w:w="1145" w:type="dxa"/>
            <w:noWrap/>
            <w:vAlign w:val="center"/>
            <w:hideMark/>
          </w:tcPr>
          <w:p w:rsidR="003F1810" w:rsidRPr="001554E7" w:rsidRDefault="003D5BD5" w:rsidP="003F1810">
            <w:pPr>
              <w:jc w:val="center"/>
            </w:pPr>
            <w:r w:rsidRPr="001554E7">
              <w:t>127893,4</w:t>
            </w:r>
          </w:p>
        </w:tc>
        <w:tc>
          <w:tcPr>
            <w:tcW w:w="1265" w:type="dxa"/>
            <w:noWrap/>
            <w:vAlign w:val="center"/>
            <w:hideMark/>
          </w:tcPr>
          <w:p w:rsidR="003F1810" w:rsidRPr="001554E7" w:rsidRDefault="003D5BD5" w:rsidP="003F1810">
            <w:pPr>
              <w:jc w:val="center"/>
            </w:pPr>
            <w:r w:rsidRPr="001554E7">
              <w:t>59198,5</w:t>
            </w:r>
          </w:p>
        </w:tc>
        <w:tc>
          <w:tcPr>
            <w:tcW w:w="993" w:type="dxa"/>
            <w:noWrap/>
            <w:vAlign w:val="center"/>
            <w:hideMark/>
          </w:tcPr>
          <w:p w:rsidR="003F1810" w:rsidRPr="001554E7" w:rsidRDefault="003D5BD5" w:rsidP="003F1810">
            <w:pPr>
              <w:ind w:right="-108" w:hanging="108"/>
              <w:jc w:val="center"/>
            </w:pPr>
            <w:r w:rsidRPr="001554E7">
              <w:t>-68694,9</w:t>
            </w:r>
          </w:p>
        </w:tc>
        <w:tc>
          <w:tcPr>
            <w:tcW w:w="850" w:type="dxa"/>
            <w:noWrap/>
            <w:vAlign w:val="center"/>
            <w:hideMark/>
          </w:tcPr>
          <w:p w:rsidR="003F1810" w:rsidRPr="001554E7" w:rsidRDefault="003D5BD5" w:rsidP="003F1810">
            <w:pPr>
              <w:jc w:val="center"/>
            </w:pPr>
            <w:r w:rsidRPr="001554E7">
              <w:t>46,3</w:t>
            </w:r>
          </w:p>
        </w:tc>
      </w:tr>
      <w:tr w:rsidR="003F1810" w:rsidRPr="001554E7" w:rsidTr="003F1810">
        <w:trPr>
          <w:trHeight w:val="995"/>
        </w:trPr>
        <w:tc>
          <w:tcPr>
            <w:tcW w:w="3652" w:type="dxa"/>
            <w:hideMark/>
          </w:tcPr>
          <w:p w:rsidR="003F1810" w:rsidRPr="001554E7" w:rsidRDefault="003F1810" w:rsidP="003F1810">
            <w:r w:rsidRPr="001554E7">
              <w:t>Transferuri curente primite cu destinație specială între bugetul de stat și bugetele locale de nivelul 2 pentru asigurarea și asistența socială</w:t>
            </w:r>
          </w:p>
        </w:tc>
        <w:tc>
          <w:tcPr>
            <w:tcW w:w="992" w:type="dxa"/>
            <w:noWrap/>
            <w:vAlign w:val="center"/>
            <w:hideMark/>
          </w:tcPr>
          <w:p w:rsidR="003F1810" w:rsidRPr="001554E7" w:rsidRDefault="003F1810" w:rsidP="003F1810">
            <w:pPr>
              <w:jc w:val="center"/>
              <w:rPr>
                <w:b/>
                <w:bCs/>
              </w:rPr>
            </w:pPr>
            <w:r w:rsidRPr="001554E7">
              <w:rPr>
                <w:b/>
                <w:bCs/>
              </w:rPr>
              <w:t>191112</w:t>
            </w:r>
          </w:p>
        </w:tc>
        <w:tc>
          <w:tcPr>
            <w:tcW w:w="992" w:type="dxa"/>
            <w:noWrap/>
            <w:vAlign w:val="center"/>
            <w:hideMark/>
          </w:tcPr>
          <w:p w:rsidR="003F1810" w:rsidRPr="001554E7" w:rsidRDefault="003D5BD5" w:rsidP="003F1810">
            <w:pPr>
              <w:ind w:left="-28" w:right="-113"/>
              <w:jc w:val="center"/>
            </w:pPr>
            <w:r w:rsidRPr="001554E7">
              <w:t>4785,0</w:t>
            </w:r>
          </w:p>
        </w:tc>
        <w:tc>
          <w:tcPr>
            <w:tcW w:w="1145" w:type="dxa"/>
            <w:noWrap/>
            <w:vAlign w:val="center"/>
            <w:hideMark/>
          </w:tcPr>
          <w:p w:rsidR="003F1810" w:rsidRPr="001554E7" w:rsidRDefault="003D5BD5" w:rsidP="003F1810">
            <w:pPr>
              <w:jc w:val="center"/>
            </w:pPr>
            <w:r w:rsidRPr="001554E7">
              <w:t>5059,7</w:t>
            </w:r>
          </w:p>
        </w:tc>
        <w:tc>
          <w:tcPr>
            <w:tcW w:w="1265" w:type="dxa"/>
            <w:noWrap/>
            <w:vAlign w:val="center"/>
            <w:hideMark/>
          </w:tcPr>
          <w:p w:rsidR="003F1810" w:rsidRPr="001554E7" w:rsidRDefault="003D5BD5" w:rsidP="003F1810">
            <w:pPr>
              <w:jc w:val="center"/>
            </w:pPr>
            <w:r w:rsidRPr="001554E7">
              <w:t>1753,0</w:t>
            </w:r>
          </w:p>
        </w:tc>
        <w:tc>
          <w:tcPr>
            <w:tcW w:w="993" w:type="dxa"/>
            <w:noWrap/>
            <w:vAlign w:val="center"/>
            <w:hideMark/>
          </w:tcPr>
          <w:p w:rsidR="003F1810" w:rsidRPr="001554E7" w:rsidRDefault="003D5BD5" w:rsidP="003F1810">
            <w:pPr>
              <w:ind w:hanging="108"/>
              <w:jc w:val="center"/>
            </w:pPr>
            <w:r w:rsidRPr="001554E7">
              <w:t>-3306,7</w:t>
            </w:r>
          </w:p>
        </w:tc>
        <w:tc>
          <w:tcPr>
            <w:tcW w:w="850" w:type="dxa"/>
            <w:noWrap/>
            <w:vAlign w:val="center"/>
            <w:hideMark/>
          </w:tcPr>
          <w:p w:rsidR="003F1810" w:rsidRPr="001554E7" w:rsidRDefault="00665943" w:rsidP="003F1810">
            <w:pPr>
              <w:jc w:val="center"/>
            </w:pPr>
            <w:r w:rsidRPr="001554E7">
              <w:t>34,6</w:t>
            </w:r>
          </w:p>
        </w:tc>
      </w:tr>
      <w:tr w:rsidR="003F1810" w:rsidRPr="001554E7" w:rsidTr="003F1810">
        <w:trPr>
          <w:trHeight w:val="732"/>
        </w:trPr>
        <w:tc>
          <w:tcPr>
            <w:tcW w:w="3652" w:type="dxa"/>
            <w:hideMark/>
          </w:tcPr>
          <w:p w:rsidR="003F1810" w:rsidRPr="001554E7" w:rsidRDefault="003F1810" w:rsidP="003F1810">
            <w:r w:rsidRPr="001554E7">
              <w:t>Transferuri curente cu destinație specială între bugetul de stat și bugete de nivelul 2 pentru școli sportive</w:t>
            </w:r>
          </w:p>
        </w:tc>
        <w:tc>
          <w:tcPr>
            <w:tcW w:w="992" w:type="dxa"/>
            <w:noWrap/>
            <w:vAlign w:val="center"/>
            <w:hideMark/>
          </w:tcPr>
          <w:p w:rsidR="003F1810" w:rsidRPr="001554E7" w:rsidRDefault="003F1810" w:rsidP="003F1810">
            <w:pPr>
              <w:jc w:val="center"/>
              <w:rPr>
                <w:b/>
                <w:bCs/>
              </w:rPr>
            </w:pPr>
            <w:r w:rsidRPr="001554E7">
              <w:rPr>
                <w:b/>
                <w:bCs/>
              </w:rPr>
              <w:t>191113</w:t>
            </w:r>
          </w:p>
        </w:tc>
        <w:tc>
          <w:tcPr>
            <w:tcW w:w="992" w:type="dxa"/>
            <w:noWrap/>
            <w:vAlign w:val="center"/>
            <w:hideMark/>
          </w:tcPr>
          <w:p w:rsidR="003F1810" w:rsidRPr="001554E7" w:rsidRDefault="00665943" w:rsidP="003F1810">
            <w:pPr>
              <w:ind w:left="-28" w:right="-113"/>
              <w:jc w:val="center"/>
            </w:pPr>
            <w:r w:rsidRPr="001554E7">
              <w:t>2472,6</w:t>
            </w:r>
          </w:p>
        </w:tc>
        <w:tc>
          <w:tcPr>
            <w:tcW w:w="1145" w:type="dxa"/>
            <w:noWrap/>
            <w:vAlign w:val="center"/>
            <w:hideMark/>
          </w:tcPr>
          <w:p w:rsidR="003F1810" w:rsidRPr="001554E7" w:rsidRDefault="00665943" w:rsidP="00A33464">
            <w:pPr>
              <w:jc w:val="center"/>
            </w:pPr>
            <w:r w:rsidRPr="001554E7">
              <w:t>2472,6</w:t>
            </w:r>
          </w:p>
        </w:tc>
        <w:tc>
          <w:tcPr>
            <w:tcW w:w="1265" w:type="dxa"/>
            <w:noWrap/>
            <w:vAlign w:val="center"/>
            <w:hideMark/>
          </w:tcPr>
          <w:p w:rsidR="003F1810" w:rsidRPr="001554E7" w:rsidRDefault="00665943" w:rsidP="003F1810">
            <w:pPr>
              <w:jc w:val="center"/>
            </w:pPr>
            <w:r w:rsidRPr="001554E7">
              <w:t>1199,1</w:t>
            </w:r>
          </w:p>
        </w:tc>
        <w:tc>
          <w:tcPr>
            <w:tcW w:w="993" w:type="dxa"/>
            <w:noWrap/>
            <w:vAlign w:val="center"/>
            <w:hideMark/>
          </w:tcPr>
          <w:p w:rsidR="003F1810" w:rsidRPr="001554E7" w:rsidRDefault="00665943" w:rsidP="00A33464">
            <w:pPr>
              <w:jc w:val="center"/>
            </w:pPr>
            <w:r w:rsidRPr="001554E7">
              <w:t>-1273,5</w:t>
            </w:r>
          </w:p>
        </w:tc>
        <w:tc>
          <w:tcPr>
            <w:tcW w:w="850" w:type="dxa"/>
            <w:noWrap/>
            <w:vAlign w:val="center"/>
            <w:hideMark/>
          </w:tcPr>
          <w:p w:rsidR="003F1810" w:rsidRPr="001554E7" w:rsidRDefault="00665943" w:rsidP="003F1810">
            <w:pPr>
              <w:jc w:val="center"/>
            </w:pPr>
            <w:r w:rsidRPr="001554E7">
              <w:t>48,5</w:t>
            </w:r>
          </w:p>
        </w:tc>
      </w:tr>
      <w:tr w:rsidR="003F1810" w:rsidRPr="001554E7" w:rsidTr="003F1810">
        <w:trPr>
          <w:trHeight w:val="930"/>
        </w:trPr>
        <w:tc>
          <w:tcPr>
            <w:tcW w:w="3652" w:type="dxa"/>
            <w:hideMark/>
          </w:tcPr>
          <w:p w:rsidR="003F1810" w:rsidRPr="001554E7" w:rsidRDefault="003F1810" w:rsidP="003F1810">
            <w:r w:rsidRPr="001554E7">
              <w:t>Transferuri curente cu destinație specială între bugetul de stat și bugete de nivelul 2 pentru infrastructura drumurilor</w:t>
            </w:r>
          </w:p>
        </w:tc>
        <w:tc>
          <w:tcPr>
            <w:tcW w:w="992" w:type="dxa"/>
            <w:noWrap/>
            <w:vAlign w:val="center"/>
            <w:hideMark/>
          </w:tcPr>
          <w:p w:rsidR="003F1810" w:rsidRPr="001554E7" w:rsidRDefault="003F1810" w:rsidP="003F1810">
            <w:pPr>
              <w:jc w:val="center"/>
              <w:rPr>
                <w:b/>
                <w:bCs/>
              </w:rPr>
            </w:pPr>
            <w:r w:rsidRPr="001554E7">
              <w:rPr>
                <w:b/>
                <w:bCs/>
              </w:rPr>
              <w:t>191116</w:t>
            </w:r>
          </w:p>
        </w:tc>
        <w:tc>
          <w:tcPr>
            <w:tcW w:w="992" w:type="dxa"/>
            <w:noWrap/>
            <w:vAlign w:val="center"/>
            <w:hideMark/>
          </w:tcPr>
          <w:p w:rsidR="003F1810" w:rsidRPr="001554E7" w:rsidRDefault="00665943" w:rsidP="003F1810">
            <w:pPr>
              <w:ind w:left="-28" w:right="-113"/>
              <w:jc w:val="center"/>
            </w:pPr>
            <w:r w:rsidRPr="001554E7">
              <w:t>9667,9</w:t>
            </w:r>
          </w:p>
        </w:tc>
        <w:tc>
          <w:tcPr>
            <w:tcW w:w="1145" w:type="dxa"/>
            <w:noWrap/>
            <w:vAlign w:val="center"/>
            <w:hideMark/>
          </w:tcPr>
          <w:p w:rsidR="003F1810" w:rsidRPr="001554E7" w:rsidRDefault="00665943" w:rsidP="003F1810">
            <w:pPr>
              <w:jc w:val="center"/>
            </w:pPr>
            <w:r w:rsidRPr="001554E7">
              <w:t>9667,9</w:t>
            </w:r>
          </w:p>
        </w:tc>
        <w:tc>
          <w:tcPr>
            <w:tcW w:w="1265" w:type="dxa"/>
            <w:noWrap/>
            <w:vAlign w:val="center"/>
            <w:hideMark/>
          </w:tcPr>
          <w:p w:rsidR="003F1810" w:rsidRPr="001554E7" w:rsidRDefault="00665943" w:rsidP="003F1810">
            <w:pPr>
              <w:jc w:val="center"/>
            </w:pPr>
            <w:r w:rsidRPr="001554E7">
              <w:t>64,1</w:t>
            </w:r>
          </w:p>
        </w:tc>
        <w:tc>
          <w:tcPr>
            <w:tcW w:w="993" w:type="dxa"/>
            <w:noWrap/>
            <w:vAlign w:val="center"/>
            <w:hideMark/>
          </w:tcPr>
          <w:p w:rsidR="003F1810" w:rsidRPr="001554E7" w:rsidRDefault="00665943" w:rsidP="003F1810">
            <w:pPr>
              <w:jc w:val="center"/>
            </w:pPr>
            <w:r w:rsidRPr="001554E7">
              <w:t>-9603,8</w:t>
            </w:r>
          </w:p>
        </w:tc>
        <w:tc>
          <w:tcPr>
            <w:tcW w:w="850" w:type="dxa"/>
            <w:noWrap/>
            <w:vAlign w:val="center"/>
            <w:hideMark/>
          </w:tcPr>
          <w:p w:rsidR="003F1810" w:rsidRPr="001554E7" w:rsidRDefault="00665943" w:rsidP="003F1810">
            <w:pPr>
              <w:jc w:val="center"/>
            </w:pPr>
            <w:r w:rsidRPr="001554E7">
              <w:t>0,7</w:t>
            </w:r>
          </w:p>
        </w:tc>
      </w:tr>
      <w:tr w:rsidR="00665943" w:rsidRPr="001554E7" w:rsidTr="003F1810">
        <w:trPr>
          <w:trHeight w:val="930"/>
        </w:trPr>
        <w:tc>
          <w:tcPr>
            <w:tcW w:w="3652" w:type="dxa"/>
            <w:hideMark/>
          </w:tcPr>
          <w:p w:rsidR="00665943" w:rsidRPr="001554E7" w:rsidRDefault="00665943" w:rsidP="00665943">
            <w:r w:rsidRPr="001554E7">
              <w:t>Transferuri capitale primite cu destinație specială între bugetul de stat și instituțiile bugetelor locale de nivelul 2</w:t>
            </w:r>
          </w:p>
        </w:tc>
        <w:tc>
          <w:tcPr>
            <w:tcW w:w="992" w:type="dxa"/>
            <w:noWrap/>
            <w:vAlign w:val="center"/>
            <w:hideMark/>
          </w:tcPr>
          <w:p w:rsidR="00665943" w:rsidRPr="001554E7" w:rsidRDefault="00665943" w:rsidP="003F1810">
            <w:pPr>
              <w:jc w:val="center"/>
              <w:rPr>
                <w:b/>
                <w:bCs/>
              </w:rPr>
            </w:pPr>
            <w:r w:rsidRPr="001554E7">
              <w:rPr>
                <w:b/>
                <w:bCs/>
              </w:rPr>
              <w:t>191120</w:t>
            </w:r>
          </w:p>
        </w:tc>
        <w:tc>
          <w:tcPr>
            <w:tcW w:w="992" w:type="dxa"/>
            <w:noWrap/>
            <w:vAlign w:val="center"/>
            <w:hideMark/>
          </w:tcPr>
          <w:p w:rsidR="00665943" w:rsidRPr="001554E7" w:rsidRDefault="00665943" w:rsidP="003F1810">
            <w:pPr>
              <w:ind w:left="-28" w:right="-113"/>
              <w:jc w:val="center"/>
            </w:pPr>
          </w:p>
        </w:tc>
        <w:tc>
          <w:tcPr>
            <w:tcW w:w="1145" w:type="dxa"/>
            <w:noWrap/>
            <w:vAlign w:val="center"/>
            <w:hideMark/>
          </w:tcPr>
          <w:p w:rsidR="00665943" w:rsidRPr="001554E7" w:rsidRDefault="00665943" w:rsidP="003F1810">
            <w:pPr>
              <w:jc w:val="center"/>
            </w:pPr>
            <w:r w:rsidRPr="001554E7">
              <w:t>130,0</w:t>
            </w:r>
          </w:p>
        </w:tc>
        <w:tc>
          <w:tcPr>
            <w:tcW w:w="1265" w:type="dxa"/>
            <w:noWrap/>
            <w:vAlign w:val="center"/>
            <w:hideMark/>
          </w:tcPr>
          <w:p w:rsidR="00665943" w:rsidRPr="001554E7" w:rsidRDefault="00665943" w:rsidP="003F1810">
            <w:pPr>
              <w:jc w:val="center"/>
            </w:pPr>
          </w:p>
        </w:tc>
        <w:tc>
          <w:tcPr>
            <w:tcW w:w="993" w:type="dxa"/>
            <w:noWrap/>
            <w:vAlign w:val="center"/>
            <w:hideMark/>
          </w:tcPr>
          <w:p w:rsidR="00665943" w:rsidRPr="001554E7" w:rsidRDefault="00665943" w:rsidP="003F1810">
            <w:pPr>
              <w:jc w:val="center"/>
            </w:pPr>
            <w:r w:rsidRPr="001554E7">
              <w:t>-130,0</w:t>
            </w:r>
          </w:p>
        </w:tc>
        <w:tc>
          <w:tcPr>
            <w:tcW w:w="850" w:type="dxa"/>
            <w:noWrap/>
            <w:vAlign w:val="center"/>
            <w:hideMark/>
          </w:tcPr>
          <w:p w:rsidR="00665943" w:rsidRPr="001554E7" w:rsidRDefault="00665943" w:rsidP="003F1810">
            <w:pPr>
              <w:jc w:val="center"/>
            </w:pPr>
          </w:p>
        </w:tc>
      </w:tr>
      <w:tr w:rsidR="003F1810" w:rsidRPr="001554E7" w:rsidTr="003F1810">
        <w:trPr>
          <w:trHeight w:val="758"/>
        </w:trPr>
        <w:tc>
          <w:tcPr>
            <w:tcW w:w="3652" w:type="dxa"/>
            <w:hideMark/>
          </w:tcPr>
          <w:p w:rsidR="003F1810" w:rsidRPr="001554E7" w:rsidRDefault="003F1810" w:rsidP="003F1810">
            <w:r w:rsidRPr="001554E7">
              <w:lastRenderedPageBreak/>
              <w:t>Transferuri curente primite cu destinație generală între bugetul de stat și bugetele locale de nivelul 2</w:t>
            </w:r>
          </w:p>
        </w:tc>
        <w:tc>
          <w:tcPr>
            <w:tcW w:w="992" w:type="dxa"/>
            <w:noWrap/>
            <w:vAlign w:val="center"/>
            <w:hideMark/>
          </w:tcPr>
          <w:p w:rsidR="003F1810" w:rsidRPr="001554E7" w:rsidRDefault="003F1810" w:rsidP="003F1810">
            <w:pPr>
              <w:jc w:val="center"/>
              <w:rPr>
                <w:b/>
                <w:bCs/>
              </w:rPr>
            </w:pPr>
            <w:r w:rsidRPr="001554E7">
              <w:rPr>
                <w:b/>
                <w:bCs/>
              </w:rPr>
              <w:t>191131</w:t>
            </w:r>
          </w:p>
        </w:tc>
        <w:tc>
          <w:tcPr>
            <w:tcW w:w="992" w:type="dxa"/>
            <w:noWrap/>
            <w:vAlign w:val="center"/>
            <w:hideMark/>
          </w:tcPr>
          <w:p w:rsidR="003F1810" w:rsidRPr="001554E7" w:rsidRDefault="00665943" w:rsidP="003F1810">
            <w:pPr>
              <w:ind w:left="-28" w:right="-113"/>
              <w:jc w:val="center"/>
            </w:pPr>
            <w:r w:rsidRPr="001554E7">
              <w:t>33824,0</w:t>
            </w:r>
          </w:p>
        </w:tc>
        <w:tc>
          <w:tcPr>
            <w:tcW w:w="1145" w:type="dxa"/>
            <w:noWrap/>
            <w:vAlign w:val="center"/>
            <w:hideMark/>
          </w:tcPr>
          <w:p w:rsidR="003F1810" w:rsidRPr="001554E7" w:rsidRDefault="00665943" w:rsidP="003F1810">
            <w:pPr>
              <w:jc w:val="center"/>
            </w:pPr>
            <w:r w:rsidRPr="001554E7">
              <w:t>33824,0</w:t>
            </w:r>
          </w:p>
        </w:tc>
        <w:tc>
          <w:tcPr>
            <w:tcW w:w="1265" w:type="dxa"/>
            <w:noWrap/>
            <w:vAlign w:val="center"/>
            <w:hideMark/>
          </w:tcPr>
          <w:p w:rsidR="003F1810" w:rsidRPr="001554E7" w:rsidRDefault="00665943" w:rsidP="003F1810">
            <w:pPr>
              <w:jc w:val="center"/>
            </w:pPr>
            <w:r w:rsidRPr="001554E7">
              <w:t>20294,4</w:t>
            </w:r>
          </w:p>
        </w:tc>
        <w:tc>
          <w:tcPr>
            <w:tcW w:w="993" w:type="dxa"/>
            <w:noWrap/>
            <w:vAlign w:val="center"/>
            <w:hideMark/>
          </w:tcPr>
          <w:p w:rsidR="003F1810" w:rsidRPr="001554E7" w:rsidRDefault="00665943" w:rsidP="00665943">
            <w:pPr>
              <w:ind w:right="-108"/>
              <w:jc w:val="center"/>
            </w:pPr>
            <w:r w:rsidRPr="001554E7">
              <w:t>-13529,6</w:t>
            </w:r>
          </w:p>
        </w:tc>
        <w:tc>
          <w:tcPr>
            <w:tcW w:w="850" w:type="dxa"/>
            <w:noWrap/>
            <w:vAlign w:val="center"/>
            <w:hideMark/>
          </w:tcPr>
          <w:p w:rsidR="003F1810" w:rsidRPr="001554E7" w:rsidRDefault="00665943" w:rsidP="003F1810">
            <w:pPr>
              <w:jc w:val="center"/>
            </w:pPr>
            <w:r w:rsidRPr="001554E7">
              <w:t>60,0</w:t>
            </w:r>
          </w:p>
        </w:tc>
      </w:tr>
      <w:tr w:rsidR="00665943" w:rsidRPr="001554E7" w:rsidTr="003F1810">
        <w:trPr>
          <w:trHeight w:val="758"/>
        </w:trPr>
        <w:tc>
          <w:tcPr>
            <w:tcW w:w="3652" w:type="dxa"/>
            <w:hideMark/>
          </w:tcPr>
          <w:p w:rsidR="00665943" w:rsidRPr="001554E7" w:rsidRDefault="00665943" w:rsidP="003F1810">
            <w:r w:rsidRPr="001554E7">
              <w:t>Transferuri curente primite cu destinație generală din fondul de compensare între bugetul de stat și bugetele locale de nivelul 2</w:t>
            </w:r>
          </w:p>
        </w:tc>
        <w:tc>
          <w:tcPr>
            <w:tcW w:w="992" w:type="dxa"/>
            <w:noWrap/>
            <w:vAlign w:val="center"/>
            <w:hideMark/>
          </w:tcPr>
          <w:p w:rsidR="00665943" w:rsidRPr="001554E7" w:rsidRDefault="00665943" w:rsidP="003F1810">
            <w:pPr>
              <w:jc w:val="center"/>
              <w:rPr>
                <w:b/>
                <w:bCs/>
              </w:rPr>
            </w:pPr>
            <w:r w:rsidRPr="001554E7">
              <w:rPr>
                <w:b/>
                <w:bCs/>
              </w:rPr>
              <w:t>191132</w:t>
            </w:r>
          </w:p>
        </w:tc>
        <w:tc>
          <w:tcPr>
            <w:tcW w:w="992" w:type="dxa"/>
            <w:noWrap/>
            <w:vAlign w:val="center"/>
            <w:hideMark/>
          </w:tcPr>
          <w:p w:rsidR="00665943" w:rsidRPr="001554E7" w:rsidRDefault="00665943" w:rsidP="003F1810">
            <w:pPr>
              <w:ind w:left="-28" w:right="-113"/>
              <w:jc w:val="center"/>
            </w:pPr>
            <w:r w:rsidRPr="001554E7">
              <w:t>6666,9</w:t>
            </w:r>
          </w:p>
        </w:tc>
        <w:tc>
          <w:tcPr>
            <w:tcW w:w="1145" w:type="dxa"/>
            <w:noWrap/>
            <w:vAlign w:val="center"/>
            <w:hideMark/>
          </w:tcPr>
          <w:p w:rsidR="00665943" w:rsidRPr="001554E7" w:rsidRDefault="00665943" w:rsidP="003F1810">
            <w:pPr>
              <w:jc w:val="center"/>
            </w:pPr>
            <w:r w:rsidRPr="001554E7">
              <w:t>6666,9</w:t>
            </w:r>
          </w:p>
        </w:tc>
        <w:tc>
          <w:tcPr>
            <w:tcW w:w="1265" w:type="dxa"/>
            <w:noWrap/>
            <w:vAlign w:val="center"/>
            <w:hideMark/>
          </w:tcPr>
          <w:p w:rsidR="00665943" w:rsidRPr="001554E7" w:rsidRDefault="00665943" w:rsidP="003F1810">
            <w:pPr>
              <w:jc w:val="center"/>
            </w:pPr>
            <w:r w:rsidRPr="001554E7">
              <w:t>4000,1</w:t>
            </w:r>
          </w:p>
        </w:tc>
        <w:tc>
          <w:tcPr>
            <w:tcW w:w="993" w:type="dxa"/>
            <w:noWrap/>
            <w:vAlign w:val="center"/>
            <w:hideMark/>
          </w:tcPr>
          <w:p w:rsidR="00665943" w:rsidRPr="001554E7" w:rsidRDefault="00665943" w:rsidP="00665943">
            <w:pPr>
              <w:ind w:right="-108"/>
              <w:jc w:val="center"/>
            </w:pPr>
            <w:r w:rsidRPr="001554E7">
              <w:t>-2666,8</w:t>
            </w:r>
          </w:p>
        </w:tc>
        <w:tc>
          <w:tcPr>
            <w:tcW w:w="850" w:type="dxa"/>
            <w:noWrap/>
            <w:vAlign w:val="center"/>
            <w:hideMark/>
          </w:tcPr>
          <w:p w:rsidR="00665943" w:rsidRPr="001554E7" w:rsidRDefault="00665943" w:rsidP="003F1810">
            <w:pPr>
              <w:jc w:val="center"/>
            </w:pPr>
            <w:r w:rsidRPr="001554E7">
              <w:t>60,0</w:t>
            </w:r>
          </w:p>
        </w:tc>
      </w:tr>
      <w:tr w:rsidR="003F1810" w:rsidRPr="001554E7" w:rsidTr="003F1810">
        <w:trPr>
          <w:trHeight w:val="757"/>
        </w:trPr>
        <w:tc>
          <w:tcPr>
            <w:tcW w:w="3652" w:type="dxa"/>
            <w:hideMark/>
          </w:tcPr>
          <w:p w:rsidR="003F1810" w:rsidRPr="001554E7" w:rsidRDefault="003F1810" w:rsidP="003F1810">
            <w:r w:rsidRPr="001554E7">
              <w:t>Alte transferuri curente primite cu destinație generală între bugetul de stat și bugetele locale de nivelul 2</w:t>
            </w:r>
          </w:p>
        </w:tc>
        <w:tc>
          <w:tcPr>
            <w:tcW w:w="992" w:type="dxa"/>
            <w:noWrap/>
            <w:vAlign w:val="center"/>
            <w:hideMark/>
          </w:tcPr>
          <w:p w:rsidR="003F1810" w:rsidRPr="001554E7" w:rsidRDefault="003F1810" w:rsidP="003F1810">
            <w:pPr>
              <w:jc w:val="center"/>
              <w:rPr>
                <w:b/>
                <w:bCs/>
              </w:rPr>
            </w:pPr>
            <w:r w:rsidRPr="001554E7">
              <w:rPr>
                <w:b/>
                <w:bCs/>
              </w:rPr>
              <w:t>191139</w:t>
            </w:r>
          </w:p>
        </w:tc>
        <w:tc>
          <w:tcPr>
            <w:tcW w:w="992" w:type="dxa"/>
            <w:noWrap/>
            <w:vAlign w:val="center"/>
            <w:hideMark/>
          </w:tcPr>
          <w:p w:rsidR="003F1810" w:rsidRPr="001554E7" w:rsidRDefault="003F1810" w:rsidP="003F1810">
            <w:pPr>
              <w:ind w:left="-28" w:right="-113"/>
              <w:jc w:val="center"/>
            </w:pPr>
          </w:p>
        </w:tc>
        <w:tc>
          <w:tcPr>
            <w:tcW w:w="1145" w:type="dxa"/>
            <w:noWrap/>
            <w:vAlign w:val="center"/>
            <w:hideMark/>
          </w:tcPr>
          <w:p w:rsidR="003F1810" w:rsidRPr="001554E7" w:rsidRDefault="00665943" w:rsidP="003F1810">
            <w:pPr>
              <w:jc w:val="center"/>
            </w:pPr>
            <w:r w:rsidRPr="001554E7">
              <w:t>249,9</w:t>
            </w:r>
          </w:p>
        </w:tc>
        <w:tc>
          <w:tcPr>
            <w:tcW w:w="1265" w:type="dxa"/>
            <w:noWrap/>
            <w:vAlign w:val="center"/>
            <w:hideMark/>
          </w:tcPr>
          <w:p w:rsidR="003F1810" w:rsidRPr="001554E7" w:rsidRDefault="00665943" w:rsidP="003F1810">
            <w:pPr>
              <w:jc w:val="center"/>
            </w:pPr>
            <w:r w:rsidRPr="001554E7">
              <w:t>62,5</w:t>
            </w:r>
          </w:p>
        </w:tc>
        <w:tc>
          <w:tcPr>
            <w:tcW w:w="993" w:type="dxa"/>
            <w:noWrap/>
            <w:vAlign w:val="center"/>
            <w:hideMark/>
          </w:tcPr>
          <w:p w:rsidR="003F1810" w:rsidRPr="001554E7" w:rsidRDefault="00665943" w:rsidP="003F1810">
            <w:pPr>
              <w:jc w:val="center"/>
            </w:pPr>
            <w:r w:rsidRPr="001554E7">
              <w:t>-187,4</w:t>
            </w:r>
          </w:p>
        </w:tc>
        <w:tc>
          <w:tcPr>
            <w:tcW w:w="850" w:type="dxa"/>
            <w:noWrap/>
            <w:vAlign w:val="center"/>
            <w:hideMark/>
          </w:tcPr>
          <w:p w:rsidR="003F1810" w:rsidRPr="001554E7" w:rsidRDefault="00665943" w:rsidP="003F1810">
            <w:pPr>
              <w:jc w:val="center"/>
            </w:pPr>
            <w:r w:rsidRPr="001554E7">
              <w:t>25,0</w:t>
            </w:r>
          </w:p>
        </w:tc>
      </w:tr>
      <w:tr w:rsidR="003F1810" w:rsidRPr="001554E7" w:rsidTr="003F1810">
        <w:trPr>
          <w:trHeight w:val="900"/>
        </w:trPr>
        <w:tc>
          <w:tcPr>
            <w:tcW w:w="3652" w:type="dxa"/>
            <w:hideMark/>
          </w:tcPr>
          <w:p w:rsidR="003F1810" w:rsidRPr="001554E7" w:rsidRDefault="003F1810" w:rsidP="003F1810">
            <w:r w:rsidRPr="001554E7">
              <w:t>Transferuri curente primite cu destinație specială între instituțiile bugetului de stat și instituțiile bugetelor locale de nivelul 2</w:t>
            </w:r>
          </w:p>
        </w:tc>
        <w:tc>
          <w:tcPr>
            <w:tcW w:w="992" w:type="dxa"/>
            <w:noWrap/>
            <w:vAlign w:val="center"/>
            <w:hideMark/>
          </w:tcPr>
          <w:p w:rsidR="003F1810" w:rsidRPr="001554E7" w:rsidRDefault="003F1810" w:rsidP="003F1810">
            <w:pPr>
              <w:jc w:val="center"/>
              <w:rPr>
                <w:b/>
                <w:bCs/>
              </w:rPr>
            </w:pPr>
            <w:r w:rsidRPr="001554E7">
              <w:rPr>
                <w:b/>
                <w:bCs/>
              </w:rPr>
              <w:t>191310</w:t>
            </w:r>
          </w:p>
        </w:tc>
        <w:tc>
          <w:tcPr>
            <w:tcW w:w="992" w:type="dxa"/>
            <w:noWrap/>
            <w:vAlign w:val="center"/>
            <w:hideMark/>
          </w:tcPr>
          <w:p w:rsidR="003F1810" w:rsidRPr="001554E7" w:rsidRDefault="00665943" w:rsidP="003F1810">
            <w:pPr>
              <w:ind w:left="-28" w:right="-113"/>
              <w:jc w:val="center"/>
            </w:pPr>
            <w:r w:rsidRPr="001554E7">
              <w:t>1340,0</w:t>
            </w:r>
          </w:p>
        </w:tc>
        <w:tc>
          <w:tcPr>
            <w:tcW w:w="1145" w:type="dxa"/>
            <w:noWrap/>
            <w:vAlign w:val="center"/>
            <w:hideMark/>
          </w:tcPr>
          <w:p w:rsidR="003F1810" w:rsidRPr="001554E7" w:rsidRDefault="00665943" w:rsidP="003F1810">
            <w:pPr>
              <w:jc w:val="center"/>
            </w:pPr>
            <w:r w:rsidRPr="001554E7">
              <w:t>4158,7</w:t>
            </w:r>
          </w:p>
        </w:tc>
        <w:tc>
          <w:tcPr>
            <w:tcW w:w="1265" w:type="dxa"/>
            <w:noWrap/>
            <w:vAlign w:val="center"/>
            <w:hideMark/>
          </w:tcPr>
          <w:p w:rsidR="003F1810" w:rsidRPr="001554E7" w:rsidRDefault="00665943" w:rsidP="003F1810">
            <w:pPr>
              <w:jc w:val="center"/>
            </w:pPr>
            <w:r w:rsidRPr="001554E7">
              <w:t>510,4</w:t>
            </w:r>
          </w:p>
        </w:tc>
        <w:tc>
          <w:tcPr>
            <w:tcW w:w="993" w:type="dxa"/>
            <w:noWrap/>
            <w:vAlign w:val="center"/>
            <w:hideMark/>
          </w:tcPr>
          <w:p w:rsidR="003F1810" w:rsidRPr="001554E7" w:rsidRDefault="00665943" w:rsidP="004153D2">
            <w:pPr>
              <w:jc w:val="center"/>
            </w:pPr>
            <w:r w:rsidRPr="001554E7">
              <w:t>-3648,3</w:t>
            </w:r>
          </w:p>
        </w:tc>
        <w:tc>
          <w:tcPr>
            <w:tcW w:w="850" w:type="dxa"/>
            <w:noWrap/>
            <w:vAlign w:val="center"/>
            <w:hideMark/>
          </w:tcPr>
          <w:p w:rsidR="003F1810" w:rsidRPr="001554E7" w:rsidRDefault="00665943" w:rsidP="003F1810">
            <w:pPr>
              <w:jc w:val="center"/>
            </w:pPr>
            <w:r w:rsidRPr="001554E7">
              <w:t>12,3</w:t>
            </w:r>
          </w:p>
        </w:tc>
      </w:tr>
      <w:tr w:rsidR="003F1810" w:rsidRPr="001554E7" w:rsidTr="003F1810">
        <w:trPr>
          <w:trHeight w:val="900"/>
        </w:trPr>
        <w:tc>
          <w:tcPr>
            <w:tcW w:w="3652" w:type="dxa"/>
            <w:hideMark/>
          </w:tcPr>
          <w:p w:rsidR="003F1810" w:rsidRPr="001554E7" w:rsidRDefault="003F1810" w:rsidP="003F1810">
            <w:r w:rsidRPr="001554E7">
              <w:t>Transferuri capitale primite cu destinație specială între instituțiile bugetului de stat și instituțiile bugetelor locale de nivelul 2</w:t>
            </w:r>
          </w:p>
        </w:tc>
        <w:tc>
          <w:tcPr>
            <w:tcW w:w="992" w:type="dxa"/>
            <w:noWrap/>
            <w:vAlign w:val="center"/>
            <w:hideMark/>
          </w:tcPr>
          <w:p w:rsidR="003F1810" w:rsidRPr="001554E7" w:rsidRDefault="003F1810" w:rsidP="003F1810">
            <w:pPr>
              <w:jc w:val="center"/>
              <w:rPr>
                <w:b/>
                <w:bCs/>
              </w:rPr>
            </w:pPr>
            <w:r w:rsidRPr="001554E7">
              <w:rPr>
                <w:b/>
                <w:bCs/>
              </w:rPr>
              <w:t>191320</w:t>
            </w:r>
          </w:p>
        </w:tc>
        <w:tc>
          <w:tcPr>
            <w:tcW w:w="992" w:type="dxa"/>
            <w:noWrap/>
            <w:vAlign w:val="center"/>
            <w:hideMark/>
          </w:tcPr>
          <w:p w:rsidR="003F1810" w:rsidRPr="001554E7" w:rsidRDefault="003F1810" w:rsidP="003F1810">
            <w:pPr>
              <w:ind w:left="-28" w:right="-113"/>
              <w:jc w:val="center"/>
            </w:pPr>
          </w:p>
        </w:tc>
        <w:tc>
          <w:tcPr>
            <w:tcW w:w="1145" w:type="dxa"/>
            <w:noWrap/>
            <w:vAlign w:val="center"/>
            <w:hideMark/>
          </w:tcPr>
          <w:p w:rsidR="003F1810" w:rsidRPr="001554E7" w:rsidRDefault="00665943" w:rsidP="003F1810">
            <w:pPr>
              <w:jc w:val="center"/>
            </w:pPr>
            <w:r w:rsidRPr="001554E7">
              <w:t>1995,1</w:t>
            </w:r>
          </w:p>
        </w:tc>
        <w:tc>
          <w:tcPr>
            <w:tcW w:w="1265" w:type="dxa"/>
            <w:noWrap/>
            <w:vAlign w:val="center"/>
            <w:hideMark/>
          </w:tcPr>
          <w:p w:rsidR="003F1810" w:rsidRPr="001554E7" w:rsidRDefault="00665943" w:rsidP="003F1810">
            <w:pPr>
              <w:jc w:val="center"/>
            </w:pPr>
            <w:r w:rsidRPr="001554E7">
              <w:t>3,1</w:t>
            </w:r>
          </w:p>
        </w:tc>
        <w:tc>
          <w:tcPr>
            <w:tcW w:w="993" w:type="dxa"/>
            <w:noWrap/>
            <w:vAlign w:val="center"/>
            <w:hideMark/>
          </w:tcPr>
          <w:p w:rsidR="003F1810" w:rsidRPr="001554E7" w:rsidRDefault="00665943" w:rsidP="003F1810">
            <w:pPr>
              <w:jc w:val="center"/>
            </w:pPr>
            <w:r w:rsidRPr="001554E7">
              <w:t>-1992,0</w:t>
            </w:r>
          </w:p>
        </w:tc>
        <w:tc>
          <w:tcPr>
            <w:tcW w:w="850" w:type="dxa"/>
            <w:noWrap/>
            <w:vAlign w:val="center"/>
            <w:hideMark/>
          </w:tcPr>
          <w:p w:rsidR="003F1810" w:rsidRPr="001554E7" w:rsidRDefault="00665943" w:rsidP="003F1810">
            <w:pPr>
              <w:jc w:val="center"/>
            </w:pPr>
            <w:r w:rsidRPr="001554E7">
              <w:t>0,2</w:t>
            </w:r>
          </w:p>
        </w:tc>
      </w:tr>
      <w:tr w:rsidR="003F1810" w:rsidRPr="001554E7" w:rsidTr="003F1810">
        <w:trPr>
          <w:trHeight w:val="555"/>
        </w:trPr>
        <w:tc>
          <w:tcPr>
            <w:tcW w:w="3652" w:type="dxa"/>
            <w:hideMark/>
          </w:tcPr>
          <w:p w:rsidR="003F1810" w:rsidRPr="001554E7" w:rsidRDefault="003F1810" w:rsidP="003F1810">
            <w:r w:rsidRPr="001554E7">
              <w:t xml:space="preserve">Transferuri primite între bugetele locale de nivelul 2 și bugetele locale de nivelul 1 </w:t>
            </w:r>
          </w:p>
        </w:tc>
        <w:tc>
          <w:tcPr>
            <w:tcW w:w="992" w:type="dxa"/>
            <w:noWrap/>
            <w:vAlign w:val="center"/>
            <w:hideMark/>
          </w:tcPr>
          <w:p w:rsidR="003F1810" w:rsidRPr="001554E7" w:rsidRDefault="003F1810" w:rsidP="003F1810">
            <w:pPr>
              <w:jc w:val="center"/>
              <w:rPr>
                <w:b/>
                <w:bCs/>
              </w:rPr>
            </w:pPr>
            <w:r w:rsidRPr="001554E7">
              <w:rPr>
                <w:b/>
                <w:bCs/>
              </w:rPr>
              <w:t>193111</w:t>
            </w:r>
          </w:p>
        </w:tc>
        <w:tc>
          <w:tcPr>
            <w:tcW w:w="992" w:type="dxa"/>
            <w:noWrap/>
            <w:vAlign w:val="center"/>
            <w:hideMark/>
          </w:tcPr>
          <w:p w:rsidR="003F1810" w:rsidRPr="001554E7" w:rsidRDefault="00665943" w:rsidP="003F1810">
            <w:pPr>
              <w:ind w:left="-28" w:right="-113"/>
              <w:jc w:val="center"/>
            </w:pPr>
            <w:r w:rsidRPr="001554E7">
              <w:t>261,4</w:t>
            </w:r>
          </w:p>
        </w:tc>
        <w:tc>
          <w:tcPr>
            <w:tcW w:w="1145" w:type="dxa"/>
            <w:noWrap/>
            <w:vAlign w:val="center"/>
            <w:hideMark/>
          </w:tcPr>
          <w:p w:rsidR="003F1810" w:rsidRPr="001554E7" w:rsidRDefault="00665943" w:rsidP="003F1810">
            <w:pPr>
              <w:jc w:val="center"/>
            </w:pPr>
            <w:r w:rsidRPr="001554E7">
              <w:t>386,1</w:t>
            </w:r>
          </w:p>
        </w:tc>
        <w:tc>
          <w:tcPr>
            <w:tcW w:w="1265" w:type="dxa"/>
            <w:noWrap/>
            <w:vAlign w:val="center"/>
            <w:hideMark/>
          </w:tcPr>
          <w:p w:rsidR="003F1810" w:rsidRPr="001554E7" w:rsidRDefault="00665943" w:rsidP="003F1810">
            <w:pPr>
              <w:jc w:val="center"/>
            </w:pPr>
            <w:r w:rsidRPr="001554E7">
              <w:t>191,1</w:t>
            </w:r>
          </w:p>
        </w:tc>
        <w:tc>
          <w:tcPr>
            <w:tcW w:w="993" w:type="dxa"/>
            <w:noWrap/>
            <w:vAlign w:val="center"/>
            <w:hideMark/>
          </w:tcPr>
          <w:p w:rsidR="003F1810" w:rsidRPr="001554E7" w:rsidRDefault="00665943" w:rsidP="003F1810">
            <w:pPr>
              <w:jc w:val="center"/>
            </w:pPr>
            <w:r w:rsidRPr="001554E7">
              <w:t>-195,0</w:t>
            </w:r>
          </w:p>
        </w:tc>
        <w:tc>
          <w:tcPr>
            <w:tcW w:w="850" w:type="dxa"/>
            <w:noWrap/>
            <w:vAlign w:val="center"/>
            <w:hideMark/>
          </w:tcPr>
          <w:p w:rsidR="003F1810" w:rsidRPr="001554E7" w:rsidRDefault="00665943" w:rsidP="003F1810">
            <w:pPr>
              <w:jc w:val="center"/>
            </w:pPr>
            <w:r w:rsidRPr="001554E7">
              <w:t>49,5</w:t>
            </w:r>
          </w:p>
        </w:tc>
      </w:tr>
      <w:tr w:rsidR="003F1810" w:rsidRPr="001554E7" w:rsidTr="003F1810">
        <w:trPr>
          <w:trHeight w:val="420"/>
        </w:trPr>
        <w:tc>
          <w:tcPr>
            <w:tcW w:w="3652" w:type="dxa"/>
            <w:vAlign w:val="center"/>
            <w:hideMark/>
          </w:tcPr>
          <w:p w:rsidR="003F1810" w:rsidRPr="001554E7" w:rsidRDefault="003F1810" w:rsidP="003F1810">
            <w:pPr>
              <w:jc w:val="center"/>
              <w:rPr>
                <w:b/>
                <w:bCs/>
              </w:rPr>
            </w:pPr>
            <w:r w:rsidRPr="001554E7">
              <w:rPr>
                <w:b/>
                <w:bCs/>
              </w:rPr>
              <w:t>Total venituri</w:t>
            </w:r>
          </w:p>
        </w:tc>
        <w:tc>
          <w:tcPr>
            <w:tcW w:w="992" w:type="dxa"/>
            <w:noWrap/>
            <w:vAlign w:val="center"/>
            <w:hideMark/>
          </w:tcPr>
          <w:p w:rsidR="003F1810" w:rsidRPr="001554E7" w:rsidRDefault="003F1810" w:rsidP="003F1810">
            <w:pPr>
              <w:jc w:val="center"/>
              <w:rPr>
                <w:b/>
                <w:bCs/>
              </w:rPr>
            </w:pPr>
          </w:p>
        </w:tc>
        <w:tc>
          <w:tcPr>
            <w:tcW w:w="992" w:type="dxa"/>
            <w:noWrap/>
            <w:vAlign w:val="center"/>
            <w:hideMark/>
          </w:tcPr>
          <w:p w:rsidR="003F1810" w:rsidRPr="001554E7" w:rsidRDefault="00665943" w:rsidP="003F1810">
            <w:pPr>
              <w:ind w:left="-28" w:right="-113"/>
              <w:jc w:val="center"/>
              <w:rPr>
                <w:b/>
                <w:bCs/>
              </w:rPr>
            </w:pPr>
            <w:r w:rsidRPr="001554E7">
              <w:rPr>
                <w:b/>
                <w:bCs/>
              </w:rPr>
              <w:t>201643,8</w:t>
            </w:r>
          </w:p>
        </w:tc>
        <w:tc>
          <w:tcPr>
            <w:tcW w:w="1145" w:type="dxa"/>
            <w:noWrap/>
            <w:vAlign w:val="center"/>
            <w:hideMark/>
          </w:tcPr>
          <w:p w:rsidR="003F1810" w:rsidRPr="001554E7" w:rsidRDefault="00665943" w:rsidP="003F1810">
            <w:pPr>
              <w:ind w:left="-100" w:right="-121" w:firstLine="79"/>
              <w:jc w:val="center"/>
              <w:rPr>
                <w:b/>
                <w:bCs/>
              </w:rPr>
            </w:pPr>
            <w:r w:rsidRPr="001554E7">
              <w:rPr>
                <w:b/>
                <w:bCs/>
              </w:rPr>
              <w:t>207287,5</w:t>
            </w:r>
          </w:p>
        </w:tc>
        <w:tc>
          <w:tcPr>
            <w:tcW w:w="1265" w:type="dxa"/>
            <w:noWrap/>
            <w:vAlign w:val="center"/>
            <w:hideMark/>
          </w:tcPr>
          <w:p w:rsidR="003F1810" w:rsidRPr="001554E7" w:rsidRDefault="00665943" w:rsidP="003F1810">
            <w:pPr>
              <w:ind w:left="-100" w:right="-121" w:firstLine="79"/>
              <w:jc w:val="center"/>
              <w:rPr>
                <w:b/>
                <w:bCs/>
              </w:rPr>
            </w:pPr>
            <w:r w:rsidRPr="001554E7">
              <w:rPr>
                <w:b/>
                <w:bCs/>
              </w:rPr>
              <w:t>94383,7</w:t>
            </w:r>
          </w:p>
        </w:tc>
        <w:tc>
          <w:tcPr>
            <w:tcW w:w="993" w:type="dxa"/>
            <w:noWrap/>
            <w:vAlign w:val="center"/>
            <w:hideMark/>
          </w:tcPr>
          <w:p w:rsidR="003F1810" w:rsidRPr="001554E7" w:rsidRDefault="00665943" w:rsidP="003F1810">
            <w:pPr>
              <w:ind w:left="-100" w:right="-121" w:firstLine="79"/>
              <w:jc w:val="center"/>
              <w:rPr>
                <w:b/>
                <w:bCs/>
              </w:rPr>
            </w:pPr>
            <w:r w:rsidRPr="001554E7">
              <w:rPr>
                <w:b/>
                <w:bCs/>
              </w:rPr>
              <w:t>-112903,8</w:t>
            </w:r>
          </w:p>
        </w:tc>
        <w:tc>
          <w:tcPr>
            <w:tcW w:w="850" w:type="dxa"/>
            <w:noWrap/>
            <w:vAlign w:val="center"/>
            <w:hideMark/>
          </w:tcPr>
          <w:p w:rsidR="003F1810" w:rsidRPr="001554E7" w:rsidRDefault="00665943" w:rsidP="003F1810">
            <w:pPr>
              <w:ind w:left="-100" w:right="-121" w:firstLine="79"/>
              <w:jc w:val="center"/>
              <w:rPr>
                <w:b/>
                <w:bCs/>
              </w:rPr>
            </w:pPr>
            <w:r w:rsidRPr="001554E7">
              <w:rPr>
                <w:b/>
                <w:bCs/>
              </w:rPr>
              <w:t>45,5</w:t>
            </w:r>
          </w:p>
        </w:tc>
      </w:tr>
    </w:tbl>
    <w:tbl>
      <w:tblPr>
        <w:tblW w:w="10821" w:type="dxa"/>
        <w:tblInd w:w="-176" w:type="dxa"/>
        <w:tblLayout w:type="fixed"/>
        <w:tblLook w:val="04A0" w:firstRow="1" w:lastRow="0" w:firstColumn="1" w:lastColumn="0" w:noHBand="0" w:noVBand="1"/>
      </w:tblPr>
      <w:tblGrid>
        <w:gridCol w:w="142"/>
        <w:gridCol w:w="710"/>
        <w:gridCol w:w="3118"/>
        <w:gridCol w:w="1236"/>
        <w:gridCol w:w="1236"/>
        <w:gridCol w:w="1241"/>
        <w:gridCol w:w="1328"/>
        <w:gridCol w:w="395"/>
        <w:gridCol w:w="455"/>
        <w:gridCol w:w="697"/>
        <w:gridCol w:w="88"/>
        <w:gridCol w:w="175"/>
      </w:tblGrid>
      <w:tr w:rsidR="003F1810" w:rsidRPr="001554E7" w:rsidTr="003F1810">
        <w:trPr>
          <w:gridAfter w:val="2"/>
          <w:wAfter w:w="263" w:type="dxa"/>
          <w:trHeight w:val="311"/>
        </w:trPr>
        <w:tc>
          <w:tcPr>
            <w:tcW w:w="9406" w:type="dxa"/>
            <w:gridSpan w:val="8"/>
            <w:vMerge w:val="restart"/>
            <w:tcBorders>
              <w:top w:val="nil"/>
              <w:left w:val="nil"/>
              <w:right w:val="nil"/>
            </w:tcBorders>
            <w:shd w:val="clear" w:color="auto" w:fill="auto"/>
            <w:noWrap/>
            <w:vAlign w:val="bottom"/>
            <w:hideMark/>
          </w:tcPr>
          <w:p w:rsidR="003F1810" w:rsidRPr="001554E7" w:rsidRDefault="003F1810" w:rsidP="003F1810">
            <w:pPr>
              <w:spacing w:before="120"/>
              <w:rPr>
                <w:b/>
                <w:bCs/>
                <w:lang w:eastAsia="ro-RO"/>
              </w:rPr>
            </w:pPr>
          </w:p>
          <w:p w:rsidR="003F1810" w:rsidRPr="001554E7" w:rsidRDefault="003F1810" w:rsidP="005E518F">
            <w:pPr>
              <w:spacing w:before="120"/>
              <w:rPr>
                <w:b/>
                <w:bCs/>
                <w:lang w:eastAsia="ro-RO"/>
              </w:rPr>
            </w:pPr>
            <w:r w:rsidRPr="001554E7">
              <w:rPr>
                <w:b/>
                <w:bCs/>
                <w:lang w:eastAsia="ro-RO"/>
              </w:rPr>
              <w:t>Cheltuielile bugetului raional</w:t>
            </w:r>
          </w:p>
          <w:p w:rsidR="003F1810" w:rsidRPr="001554E7" w:rsidRDefault="003F1810" w:rsidP="003F1810">
            <w:pPr>
              <w:jc w:val="right"/>
              <w:rPr>
                <w:b/>
                <w:bCs/>
                <w:lang w:eastAsia="ro-RO"/>
              </w:rPr>
            </w:pPr>
            <w:r w:rsidRPr="001554E7">
              <w:rPr>
                <w:b/>
                <w:bCs/>
                <w:sz w:val="22"/>
                <w:szCs w:val="22"/>
                <w:lang w:eastAsia="ro-RO"/>
              </w:rPr>
              <w:t xml:space="preserve">    (mii lei)</w:t>
            </w:r>
          </w:p>
        </w:tc>
        <w:tc>
          <w:tcPr>
            <w:tcW w:w="1152" w:type="dxa"/>
            <w:gridSpan w:val="2"/>
            <w:tcBorders>
              <w:top w:val="nil"/>
              <w:left w:val="nil"/>
              <w:bottom w:val="nil"/>
              <w:right w:val="nil"/>
            </w:tcBorders>
            <w:shd w:val="clear" w:color="auto" w:fill="auto"/>
            <w:noWrap/>
            <w:vAlign w:val="bottom"/>
            <w:hideMark/>
          </w:tcPr>
          <w:p w:rsidR="003F1810" w:rsidRPr="001554E7" w:rsidRDefault="003F1810" w:rsidP="003F1810">
            <w:pPr>
              <w:rPr>
                <w:b/>
                <w:bCs/>
                <w:sz w:val="28"/>
                <w:szCs w:val="28"/>
                <w:lang w:eastAsia="ro-RO"/>
              </w:rPr>
            </w:pPr>
          </w:p>
        </w:tc>
      </w:tr>
      <w:tr w:rsidR="003F1810" w:rsidRPr="001554E7" w:rsidTr="003F1810">
        <w:trPr>
          <w:gridAfter w:val="2"/>
          <w:wAfter w:w="263" w:type="dxa"/>
          <w:trHeight w:val="140"/>
        </w:trPr>
        <w:tc>
          <w:tcPr>
            <w:tcW w:w="9406" w:type="dxa"/>
            <w:gridSpan w:val="8"/>
            <w:vMerge/>
            <w:tcBorders>
              <w:left w:val="nil"/>
              <w:bottom w:val="nil"/>
              <w:right w:val="nil"/>
            </w:tcBorders>
            <w:shd w:val="clear" w:color="auto" w:fill="auto"/>
            <w:noWrap/>
            <w:vAlign w:val="bottom"/>
            <w:hideMark/>
          </w:tcPr>
          <w:p w:rsidR="003F1810" w:rsidRPr="001554E7" w:rsidRDefault="003F1810" w:rsidP="003F1810">
            <w:pPr>
              <w:jc w:val="right"/>
              <w:rPr>
                <w:b/>
                <w:bCs/>
                <w:lang w:eastAsia="ro-RO"/>
              </w:rPr>
            </w:pPr>
          </w:p>
        </w:tc>
        <w:tc>
          <w:tcPr>
            <w:tcW w:w="1152" w:type="dxa"/>
            <w:gridSpan w:val="2"/>
            <w:tcBorders>
              <w:top w:val="nil"/>
              <w:left w:val="nil"/>
              <w:bottom w:val="nil"/>
              <w:right w:val="nil"/>
            </w:tcBorders>
            <w:shd w:val="clear" w:color="auto" w:fill="auto"/>
            <w:noWrap/>
            <w:vAlign w:val="bottom"/>
            <w:hideMark/>
          </w:tcPr>
          <w:p w:rsidR="003F1810" w:rsidRPr="001554E7" w:rsidRDefault="003F1810" w:rsidP="003F1810">
            <w:pPr>
              <w:jc w:val="right"/>
              <w:rPr>
                <w:b/>
                <w:bCs/>
                <w:lang w:eastAsia="ro-RO"/>
              </w:rPr>
            </w:pPr>
          </w:p>
        </w:tc>
      </w:tr>
      <w:tr w:rsidR="003F1810" w:rsidRPr="001554E7" w:rsidTr="003F1810">
        <w:trPr>
          <w:gridBefore w:val="1"/>
          <w:gridAfter w:val="1"/>
          <w:wBefore w:w="142" w:type="dxa"/>
          <w:wAfter w:w="175" w:type="dxa"/>
          <w:trHeight w:val="423"/>
        </w:trPr>
        <w:tc>
          <w:tcPr>
            <w:tcW w:w="710" w:type="dxa"/>
            <w:vMerge w:val="restart"/>
            <w:tcBorders>
              <w:top w:val="single" w:sz="4" w:space="0" w:color="auto"/>
              <w:left w:val="single" w:sz="4" w:space="0" w:color="auto"/>
              <w:right w:val="single" w:sz="4" w:space="0" w:color="auto"/>
            </w:tcBorders>
            <w:shd w:val="clear" w:color="auto" w:fill="auto"/>
            <w:vAlign w:val="center"/>
            <w:hideMark/>
          </w:tcPr>
          <w:p w:rsidR="003F1810" w:rsidRPr="001554E7" w:rsidRDefault="003F1810" w:rsidP="003F1810">
            <w:pPr>
              <w:ind w:right="-108" w:hanging="108"/>
              <w:rPr>
                <w:b/>
                <w:bCs/>
                <w:lang w:eastAsia="ro-RO"/>
              </w:rPr>
            </w:pPr>
            <w:r w:rsidRPr="001554E7">
              <w:rPr>
                <w:b/>
                <w:bCs/>
                <w:sz w:val="22"/>
                <w:lang w:eastAsia="ro-RO"/>
              </w:rPr>
              <w:t>Grupa</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rsidR="003F1810" w:rsidRPr="001554E7" w:rsidRDefault="003F1810" w:rsidP="003F1810">
            <w:pPr>
              <w:rPr>
                <w:b/>
                <w:bCs/>
                <w:lang w:eastAsia="ro-RO"/>
              </w:rPr>
            </w:pPr>
            <w:r w:rsidRPr="001554E7">
              <w:rPr>
                <w:b/>
                <w:bCs/>
                <w:sz w:val="22"/>
                <w:lang w:eastAsia="ro-RO"/>
              </w:rPr>
              <w:t>Denumirea</w:t>
            </w:r>
          </w:p>
        </w:tc>
        <w:tc>
          <w:tcPr>
            <w:tcW w:w="1236" w:type="dxa"/>
            <w:vMerge w:val="restart"/>
            <w:tcBorders>
              <w:top w:val="single" w:sz="4" w:space="0" w:color="auto"/>
              <w:left w:val="single" w:sz="4" w:space="0" w:color="auto"/>
              <w:right w:val="single" w:sz="4" w:space="0" w:color="auto"/>
            </w:tcBorders>
            <w:shd w:val="clear" w:color="auto" w:fill="auto"/>
            <w:vAlign w:val="center"/>
            <w:hideMark/>
          </w:tcPr>
          <w:p w:rsidR="003F1810" w:rsidRPr="001554E7" w:rsidRDefault="003F1810" w:rsidP="003F1810">
            <w:pPr>
              <w:rPr>
                <w:b/>
                <w:bCs/>
                <w:lang w:eastAsia="ro-RO"/>
              </w:rPr>
            </w:pPr>
            <w:r w:rsidRPr="001554E7">
              <w:rPr>
                <w:b/>
                <w:bCs/>
                <w:sz w:val="22"/>
                <w:lang w:eastAsia="ro-RO"/>
              </w:rPr>
              <w:t xml:space="preserve">Aprobat </w:t>
            </w:r>
          </w:p>
        </w:tc>
        <w:tc>
          <w:tcPr>
            <w:tcW w:w="1236" w:type="dxa"/>
            <w:vMerge w:val="restart"/>
            <w:tcBorders>
              <w:top w:val="single" w:sz="4" w:space="0" w:color="auto"/>
              <w:left w:val="single" w:sz="4" w:space="0" w:color="auto"/>
              <w:right w:val="single" w:sz="4" w:space="0" w:color="auto"/>
            </w:tcBorders>
            <w:shd w:val="clear" w:color="auto" w:fill="auto"/>
            <w:vAlign w:val="center"/>
            <w:hideMark/>
          </w:tcPr>
          <w:p w:rsidR="003F1810" w:rsidRPr="001554E7" w:rsidRDefault="003F1810" w:rsidP="003F1810">
            <w:pPr>
              <w:rPr>
                <w:b/>
                <w:bCs/>
                <w:lang w:eastAsia="ro-RO"/>
              </w:rPr>
            </w:pPr>
            <w:r w:rsidRPr="001554E7">
              <w:rPr>
                <w:b/>
                <w:bCs/>
                <w:sz w:val="22"/>
                <w:lang w:eastAsia="ro-RO"/>
              </w:rPr>
              <w:t xml:space="preserve">Precizat </w:t>
            </w:r>
          </w:p>
        </w:tc>
        <w:tc>
          <w:tcPr>
            <w:tcW w:w="1241" w:type="dxa"/>
            <w:vMerge w:val="restart"/>
            <w:tcBorders>
              <w:top w:val="single" w:sz="4" w:space="0" w:color="auto"/>
              <w:left w:val="single" w:sz="4" w:space="0" w:color="auto"/>
              <w:right w:val="single" w:sz="4" w:space="0" w:color="auto"/>
            </w:tcBorders>
            <w:shd w:val="clear" w:color="auto" w:fill="auto"/>
            <w:vAlign w:val="center"/>
            <w:hideMark/>
          </w:tcPr>
          <w:p w:rsidR="003F1810" w:rsidRPr="001554E7" w:rsidRDefault="003F1810" w:rsidP="003F1810">
            <w:pPr>
              <w:rPr>
                <w:b/>
                <w:bCs/>
                <w:lang w:eastAsia="ro-RO"/>
              </w:rPr>
            </w:pPr>
            <w:r w:rsidRPr="001554E7">
              <w:rPr>
                <w:b/>
                <w:bCs/>
                <w:sz w:val="22"/>
                <w:lang w:eastAsia="ro-RO"/>
              </w:rPr>
              <w:t xml:space="preserve">Executat </w:t>
            </w:r>
          </w:p>
        </w:tc>
        <w:tc>
          <w:tcPr>
            <w:tcW w:w="1328" w:type="dxa"/>
            <w:vMerge w:val="restart"/>
            <w:tcBorders>
              <w:top w:val="single" w:sz="4" w:space="0" w:color="auto"/>
              <w:left w:val="single" w:sz="4" w:space="0" w:color="auto"/>
              <w:right w:val="single" w:sz="4" w:space="0" w:color="auto"/>
            </w:tcBorders>
            <w:shd w:val="clear" w:color="auto" w:fill="auto"/>
            <w:vAlign w:val="center"/>
            <w:hideMark/>
          </w:tcPr>
          <w:p w:rsidR="003F1810" w:rsidRPr="001554E7" w:rsidRDefault="003F1810" w:rsidP="003F1810">
            <w:pPr>
              <w:rPr>
                <w:b/>
                <w:bCs/>
                <w:lang w:eastAsia="ro-RO"/>
              </w:rPr>
            </w:pPr>
            <w:r w:rsidRPr="001554E7">
              <w:rPr>
                <w:b/>
                <w:bCs/>
                <w:sz w:val="22"/>
                <w:lang w:eastAsia="ro-RO"/>
              </w:rPr>
              <w:t>Devieri          (+,-)</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hideMark/>
          </w:tcPr>
          <w:p w:rsidR="003F1810" w:rsidRPr="001554E7" w:rsidRDefault="003F1810" w:rsidP="003F1810">
            <w:pPr>
              <w:rPr>
                <w:b/>
                <w:bCs/>
                <w:sz w:val="26"/>
                <w:szCs w:val="26"/>
                <w:lang w:eastAsia="ro-RO"/>
              </w:rPr>
            </w:pPr>
            <w:r w:rsidRPr="001554E7">
              <w:rPr>
                <w:b/>
                <w:bCs/>
                <w:sz w:val="26"/>
                <w:szCs w:val="26"/>
                <w:lang w:eastAsia="ro-RO"/>
              </w:rPr>
              <w:t>%</w:t>
            </w:r>
          </w:p>
        </w:tc>
        <w:tc>
          <w:tcPr>
            <w:tcW w:w="785" w:type="dxa"/>
            <w:gridSpan w:val="2"/>
            <w:tcBorders>
              <w:top w:val="nil"/>
              <w:left w:val="nil"/>
              <w:bottom w:val="nil"/>
              <w:right w:val="nil"/>
            </w:tcBorders>
            <w:shd w:val="clear" w:color="auto" w:fill="auto"/>
            <w:noWrap/>
            <w:vAlign w:val="bottom"/>
            <w:hideMark/>
          </w:tcPr>
          <w:p w:rsidR="003F1810" w:rsidRPr="001554E7" w:rsidRDefault="003F1810" w:rsidP="003F1810">
            <w:pPr>
              <w:rPr>
                <w:b/>
                <w:bCs/>
                <w:sz w:val="26"/>
                <w:szCs w:val="26"/>
                <w:lang w:eastAsia="ro-RO"/>
              </w:rPr>
            </w:pPr>
          </w:p>
        </w:tc>
      </w:tr>
      <w:tr w:rsidR="003F1810" w:rsidRPr="001554E7" w:rsidTr="003F1810">
        <w:trPr>
          <w:gridBefore w:val="1"/>
          <w:gridAfter w:val="1"/>
          <w:wBefore w:w="142" w:type="dxa"/>
          <w:wAfter w:w="175" w:type="dxa"/>
          <w:trHeight w:val="272"/>
        </w:trPr>
        <w:tc>
          <w:tcPr>
            <w:tcW w:w="710" w:type="dxa"/>
            <w:vMerge/>
            <w:tcBorders>
              <w:left w:val="single" w:sz="4" w:space="0" w:color="auto"/>
              <w:right w:val="single" w:sz="4" w:space="0" w:color="auto"/>
            </w:tcBorders>
            <w:vAlign w:val="center"/>
            <w:hideMark/>
          </w:tcPr>
          <w:p w:rsidR="003F1810" w:rsidRPr="001554E7" w:rsidRDefault="003F1810" w:rsidP="003F1810">
            <w:pPr>
              <w:rPr>
                <w:b/>
                <w:bCs/>
                <w:sz w:val="26"/>
                <w:szCs w:val="26"/>
                <w:lang w:eastAsia="ro-RO"/>
              </w:rPr>
            </w:pPr>
          </w:p>
        </w:tc>
        <w:tc>
          <w:tcPr>
            <w:tcW w:w="3118" w:type="dxa"/>
            <w:vMerge/>
            <w:tcBorders>
              <w:left w:val="single" w:sz="4" w:space="0" w:color="auto"/>
              <w:right w:val="single" w:sz="4" w:space="0" w:color="auto"/>
            </w:tcBorders>
            <w:vAlign w:val="center"/>
            <w:hideMark/>
          </w:tcPr>
          <w:p w:rsidR="003F1810" w:rsidRPr="001554E7" w:rsidRDefault="003F1810" w:rsidP="003F1810">
            <w:pPr>
              <w:rPr>
                <w:b/>
                <w:bCs/>
                <w:sz w:val="26"/>
                <w:szCs w:val="26"/>
                <w:lang w:eastAsia="ro-RO"/>
              </w:rPr>
            </w:pPr>
          </w:p>
        </w:tc>
        <w:tc>
          <w:tcPr>
            <w:tcW w:w="1236" w:type="dxa"/>
            <w:vMerge/>
            <w:tcBorders>
              <w:left w:val="single" w:sz="4" w:space="0" w:color="auto"/>
              <w:right w:val="single" w:sz="4" w:space="0" w:color="auto"/>
            </w:tcBorders>
            <w:vAlign w:val="center"/>
            <w:hideMark/>
          </w:tcPr>
          <w:p w:rsidR="003F1810" w:rsidRPr="001554E7" w:rsidRDefault="003F1810" w:rsidP="003F1810">
            <w:pPr>
              <w:rPr>
                <w:b/>
                <w:bCs/>
                <w:sz w:val="26"/>
                <w:szCs w:val="26"/>
                <w:lang w:eastAsia="ro-RO"/>
              </w:rPr>
            </w:pPr>
          </w:p>
        </w:tc>
        <w:tc>
          <w:tcPr>
            <w:tcW w:w="1236" w:type="dxa"/>
            <w:vMerge/>
            <w:tcBorders>
              <w:left w:val="single" w:sz="4" w:space="0" w:color="auto"/>
              <w:right w:val="single" w:sz="4" w:space="0" w:color="auto"/>
            </w:tcBorders>
            <w:vAlign w:val="center"/>
            <w:hideMark/>
          </w:tcPr>
          <w:p w:rsidR="003F1810" w:rsidRPr="001554E7" w:rsidRDefault="003F1810" w:rsidP="003F1810">
            <w:pPr>
              <w:rPr>
                <w:b/>
                <w:bCs/>
                <w:sz w:val="26"/>
                <w:szCs w:val="26"/>
                <w:lang w:eastAsia="ro-RO"/>
              </w:rPr>
            </w:pPr>
          </w:p>
        </w:tc>
        <w:tc>
          <w:tcPr>
            <w:tcW w:w="1241" w:type="dxa"/>
            <w:vMerge/>
            <w:tcBorders>
              <w:left w:val="single" w:sz="4" w:space="0" w:color="auto"/>
              <w:right w:val="single" w:sz="4" w:space="0" w:color="auto"/>
            </w:tcBorders>
            <w:vAlign w:val="center"/>
            <w:hideMark/>
          </w:tcPr>
          <w:p w:rsidR="003F1810" w:rsidRPr="001554E7" w:rsidRDefault="003F1810" w:rsidP="003F1810">
            <w:pPr>
              <w:rPr>
                <w:b/>
                <w:bCs/>
                <w:sz w:val="26"/>
                <w:szCs w:val="26"/>
                <w:lang w:eastAsia="ro-RO"/>
              </w:rPr>
            </w:pPr>
          </w:p>
        </w:tc>
        <w:tc>
          <w:tcPr>
            <w:tcW w:w="1328" w:type="dxa"/>
            <w:vMerge/>
            <w:tcBorders>
              <w:left w:val="single" w:sz="4" w:space="0" w:color="auto"/>
              <w:right w:val="single" w:sz="4" w:space="0" w:color="auto"/>
            </w:tcBorders>
            <w:vAlign w:val="center"/>
            <w:hideMark/>
          </w:tcPr>
          <w:p w:rsidR="003F1810" w:rsidRPr="001554E7" w:rsidRDefault="003F1810" w:rsidP="003F1810">
            <w:pPr>
              <w:rPr>
                <w:b/>
                <w:bCs/>
                <w:sz w:val="26"/>
                <w:szCs w:val="26"/>
                <w:lang w:eastAsia="ro-RO"/>
              </w:rPr>
            </w:pPr>
          </w:p>
        </w:tc>
        <w:tc>
          <w:tcPr>
            <w:tcW w:w="850" w:type="dxa"/>
            <w:gridSpan w:val="2"/>
            <w:vMerge/>
            <w:tcBorders>
              <w:left w:val="single" w:sz="4" w:space="0" w:color="auto"/>
              <w:right w:val="single" w:sz="4" w:space="0" w:color="auto"/>
            </w:tcBorders>
            <w:vAlign w:val="center"/>
            <w:hideMark/>
          </w:tcPr>
          <w:p w:rsidR="003F1810" w:rsidRPr="001554E7" w:rsidRDefault="003F1810" w:rsidP="003F1810">
            <w:pPr>
              <w:rPr>
                <w:b/>
                <w:bCs/>
                <w:sz w:val="26"/>
                <w:szCs w:val="26"/>
                <w:lang w:eastAsia="ro-RO"/>
              </w:rPr>
            </w:pPr>
          </w:p>
        </w:tc>
        <w:tc>
          <w:tcPr>
            <w:tcW w:w="785" w:type="dxa"/>
            <w:gridSpan w:val="2"/>
            <w:tcBorders>
              <w:top w:val="nil"/>
              <w:left w:val="nil"/>
              <w:bottom w:val="nil"/>
              <w:right w:val="nil"/>
            </w:tcBorders>
            <w:shd w:val="clear" w:color="auto" w:fill="auto"/>
            <w:noWrap/>
            <w:vAlign w:val="bottom"/>
            <w:hideMark/>
          </w:tcPr>
          <w:p w:rsidR="003F1810" w:rsidRPr="001554E7" w:rsidRDefault="003F1810" w:rsidP="003F1810">
            <w:pPr>
              <w:rPr>
                <w:sz w:val="20"/>
                <w:szCs w:val="20"/>
                <w:lang w:eastAsia="ro-RO"/>
              </w:rPr>
            </w:pPr>
          </w:p>
        </w:tc>
      </w:tr>
      <w:tr w:rsidR="003F1810" w:rsidRPr="001554E7" w:rsidTr="003F1810">
        <w:trPr>
          <w:gridBefore w:val="1"/>
          <w:gridAfter w:val="1"/>
          <w:wBefore w:w="142" w:type="dxa"/>
          <w:wAfter w:w="175" w:type="dxa"/>
          <w:trHeight w:val="80"/>
        </w:trPr>
        <w:tc>
          <w:tcPr>
            <w:tcW w:w="710" w:type="dxa"/>
            <w:vMerge/>
            <w:tcBorders>
              <w:left w:val="single" w:sz="4" w:space="0" w:color="auto"/>
              <w:bottom w:val="single" w:sz="4" w:space="0" w:color="auto"/>
              <w:right w:val="single" w:sz="4" w:space="0" w:color="auto"/>
            </w:tcBorders>
            <w:shd w:val="clear" w:color="auto" w:fill="auto"/>
          </w:tcPr>
          <w:p w:rsidR="003F1810" w:rsidRPr="001554E7" w:rsidRDefault="003F1810" w:rsidP="003F1810">
            <w:pPr>
              <w:rPr>
                <w:lang w:eastAsia="ro-RO"/>
              </w:rPr>
            </w:pPr>
          </w:p>
        </w:tc>
        <w:tc>
          <w:tcPr>
            <w:tcW w:w="3118" w:type="dxa"/>
            <w:vMerge/>
            <w:tcBorders>
              <w:left w:val="single" w:sz="4" w:space="0" w:color="auto"/>
              <w:bottom w:val="single" w:sz="4" w:space="0" w:color="auto"/>
              <w:right w:val="single" w:sz="4" w:space="0" w:color="auto"/>
            </w:tcBorders>
            <w:shd w:val="clear" w:color="auto" w:fill="auto"/>
          </w:tcPr>
          <w:p w:rsidR="003F1810" w:rsidRPr="001554E7" w:rsidRDefault="003F1810" w:rsidP="003F1810">
            <w:pPr>
              <w:rPr>
                <w:b/>
                <w:bCs/>
                <w:lang w:eastAsia="ro-RO"/>
              </w:rPr>
            </w:pPr>
          </w:p>
        </w:tc>
        <w:tc>
          <w:tcPr>
            <w:tcW w:w="1236" w:type="dxa"/>
            <w:vMerge/>
            <w:tcBorders>
              <w:left w:val="single" w:sz="4" w:space="0" w:color="auto"/>
              <w:bottom w:val="single" w:sz="4" w:space="0" w:color="auto"/>
              <w:right w:val="single" w:sz="4" w:space="0" w:color="auto"/>
            </w:tcBorders>
            <w:shd w:val="clear" w:color="auto" w:fill="auto"/>
          </w:tcPr>
          <w:p w:rsidR="003F1810" w:rsidRPr="001554E7" w:rsidRDefault="003F1810" w:rsidP="003F1810">
            <w:pPr>
              <w:rPr>
                <w:b/>
                <w:bCs/>
                <w:lang w:eastAsia="ro-RO"/>
              </w:rPr>
            </w:pPr>
          </w:p>
        </w:tc>
        <w:tc>
          <w:tcPr>
            <w:tcW w:w="1236" w:type="dxa"/>
            <w:vMerge/>
            <w:tcBorders>
              <w:left w:val="single" w:sz="4" w:space="0" w:color="auto"/>
              <w:bottom w:val="single" w:sz="4" w:space="0" w:color="auto"/>
              <w:right w:val="single" w:sz="4" w:space="0" w:color="auto"/>
            </w:tcBorders>
            <w:shd w:val="clear" w:color="auto" w:fill="auto"/>
          </w:tcPr>
          <w:p w:rsidR="003F1810" w:rsidRPr="001554E7" w:rsidRDefault="003F1810" w:rsidP="003F1810">
            <w:pPr>
              <w:rPr>
                <w:b/>
                <w:bCs/>
                <w:lang w:eastAsia="ro-RO"/>
              </w:rPr>
            </w:pPr>
          </w:p>
        </w:tc>
        <w:tc>
          <w:tcPr>
            <w:tcW w:w="1241" w:type="dxa"/>
            <w:vMerge/>
            <w:tcBorders>
              <w:left w:val="single" w:sz="4" w:space="0" w:color="auto"/>
              <w:bottom w:val="single" w:sz="4" w:space="0" w:color="auto"/>
              <w:right w:val="single" w:sz="4" w:space="0" w:color="auto"/>
            </w:tcBorders>
            <w:shd w:val="clear" w:color="auto" w:fill="auto"/>
          </w:tcPr>
          <w:p w:rsidR="003F1810" w:rsidRPr="001554E7" w:rsidRDefault="003F1810" w:rsidP="003F1810">
            <w:pPr>
              <w:rPr>
                <w:b/>
                <w:bCs/>
                <w:lang w:eastAsia="ro-RO"/>
              </w:rPr>
            </w:pPr>
          </w:p>
        </w:tc>
        <w:tc>
          <w:tcPr>
            <w:tcW w:w="1328" w:type="dxa"/>
            <w:vMerge/>
            <w:tcBorders>
              <w:left w:val="single" w:sz="4" w:space="0" w:color="auto"/>
              <w:bottom w:val="single" w:sz="4" w:space="0" w:color="auto"/>
              <w:right w:val="single" w:sz="4" w:space="0" w:color="auto"/>
            </w:tcBorders>
            <w:shd w:val="clear" w:color="auto" w:fill="auto"/>
          </w:tcPr>
          <w:p w:rsidR="003F1810" w:rsidRPr="001554E7" w:rsidRDefault="003F1810" w:rsidP="003F1810">
            <w:pPr>
              <w:rPr>
                <w:b/>
                <w:bCs/>
                <w:lang w:eastAsia="ro-RO"/>
              </w:rPr>
            </w:pPr>
          </w:p>
        </w:tc>
        <w:tc>
          <w:tcPr>
            <w:tcW w:w="850" w:type="dxa"/>
            <w:gridSpan w:val="2"/>
            <w:vMerge/>
            <w:tcBorders>
              <w:left w:val="single" w:sz="4" w:space="0" w:color="auto"/>
              <w:bottom w:val="single" w:sz="4" w:space="0" w:color="auto"/>
              <w:right w:val="single" w:sz="4" w:space="0" w:color="auto"/>
            </w:tcBorders>
            <w:shd w:val="clear" w:color="auto" w:fill="auto"/>
          </w:tcPr>
          <w:p w:rsidR="003F1810" w:rsidRPr="001554E7" w:rsidRDefault="003F1810" w:rsidP="003F1810">
            <w:pPr>
              <w:rPr>
                <w:b/>
                <w:bCs/>
                <w:lang w:eastAsia="ro-RO"/>
              </w:rPr>
            </w:pPr>
          </w:p>
        </w:tc>
        <w:tc>
          <w:tcPr>
            <w:tcW w:w="785" w:type="dxa"/>
            <w:gridSpan w:val="2"/>
            <w:tcBorders>
              <w:top w:val="nil"/>
              <w:left w:val="nil"/>
              <w:bottom w:val="nil"/>
              <w:right w:val="nil"/>
            </w:tcBorders>
            <w:shd w:val="clear" w:color="auto" w:fill="auto"/>
            <w:noWrap/>
            <w:vAlign w:val="bottom"/>
            <w:hideMark/>
          </w:tcPr>
          <w:p w:rsidR="003F1810" w:rsidRPr="001554E7" w:rsidRDefault="003F1810" w:rsidP="003F1810">
            <w:pPr>
              <w:rPr>
                <w:b/>
                <w:bCs/>
                <w:lang w:eastAsia="ro-RO"/>
              </w:rPr>
            </w:pPr>
          </w:p>
        </w:tc>
      </w:tr>
      <w:tr w:rsidR="003F1810" w:rsidRPr="001554E7" w:rsidTr="003F1810">
        <w:trPr>
          <w:gridBefore w:val="1"/>
          <w:wBefore w:w="142" w:type="dxa"/>
          <w:trHeight w:val="37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01</w:t>
            </w:r>
          </w:p>
        </w:tc>
        <w:tc>
          <w:tcPr>
            <w:tcW w:w="3118" w:type="dxa"/>
            <w:tcBorders>
              <w:top w:val="nil"/>
              <w:left w:val="nil"/>
              <w:bottom w:val="single" w:sz="4" w:space="0" w:color="auto"/>
              <w:right w:val="single" w:sz="4" w:space="0" w:color="auto"/>
            </w:tcBorders>
            <w:shd w:val="clear" w:color="auto" w:fill="auto"/>
            <w:hideMark/>
          </w:tcPr>
          <w:p w:rsidR="003F1810" w:rsidRPr="001554E7" w:rsidRDefault="003F1810" w:rsidP="003F1810">
            <w:pPr>
              <w:rPr>
                <w:bCs/>
                <w:lang w:eastAsia="ro-RO"/>
              </w:rPr>
            </w:pPr>
            <w:r w:rsidRPr="001554E7">
              <w:rPr>
                <w:bCs/>
                <w:sz w:val="22"/>
                <w:szCs w:val="22"/>
                <w:lang w:eastAsia="ro-RO"/>
              </w:rPr>
              <w:t>Servicii de stat cu destinație generală</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10114,0</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10259,5</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3164,1</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-7095,4</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30,8</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3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02</w:t>
            </w:r>
          </w:p>
        </w:tc>
        <w:tc>
          <w:tcPr>
            <w:tcW w:w="3118" w:type="dxa"/>
            <w:tcBorders>
              <w:top w:val="nil"/>
              <w:left w:val="nil"/>
              <w:bottom w:val="single" w:sz="4" w:space="0" w:color="auto"/>
              <w:right w:val="single" w:sz="4" w:space="0" w:color="auto"/>
            </w:tcBorders>
            <w:shd w:val="clear" w:color="auto" w:fill="auto"/>
            <w:hideMark/>
          </w:tcPr>
          <w:p w:rsidR="003F1810" w:rsidRPr="001554E7" w:rsidRDefault="003F1810" w:rsidP="003F1810">
            <w:pPr>
              <w:rPr>
                <w:bCs/>
                <w:lang w:eastAsia="ro-RO"/>
              </w:rPr>
            </w:pPr>
            <w:r w:rsidRPr="001554E7">
              <w:rPr>
                <w:bCs/>
                <w:sz w:val="22"/>
                <w:szCs w:val="22"/>
                <w:lang w:eastAsia="ro-RO"/>
              </w:rPr>
              <w:t>Apărare națională</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228,0</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4153D2">
            <w:pPr>
              <w:rPr>
                <w:lang w:eastAsia="ro-RO"/>
              </w:rPr>
            </w:pPr>
            <w:r w:rsidRPr="001554E7">
              <w:rPr>
                <w:lang w:eastAsia="ro-RO"/>
              </w:rPr>
              <w:t>228,0</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44,2</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-183,8</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19,4</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3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03</w:t>
            </w:r>
          </w:p>
        </w:tc>
        <w:tc>
          <w:tcPr>
            <w:tcW w:w="3118" w:type="dxa"/>
            <w:tcBorders>
              <w:top w:val="nil"/>
              <w:left w:val="nil"/>
              <w:bottom w:val="single" w:sz="4" w:space="0" w:color="auto"/>
              <w:right w:val="single" w:sz="4" w:space="0" w:color="auto"/>
            </w:tcBorders>
            <w:shd w:val="clear" w:color="auto" w:fill="auto"/>
            <w:hideMark/>
          </w:tcPr>
          <w:p w:rsidR="003F1810" w:rsidRPr="001554E7" w:rsidRDefault="003F1810" w:rsidP="003F1810">
            <w:pPr>
              <w:rPr>
                <w:bCs/>
                <w:lang w:eastAsia="ro-RO"/>
              </w:rPr>
            </w:pPr>
            <w:r w:rsidRPr="001554E7">
              <w:rPr>
                <w:bCs/>
                <w:sz w:val="22"/>
                <w:szCs w:val="22"/>
                <w:lang w:eastAsia="ro-RO"/>
              </w:rPr>
              <w:t>Ordinea publică și securitatea națională</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lang w:eastAsia="ro-RO"/>
              </w:rPr>
            </w:pP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240,5</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11,0</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-229,5</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4,6</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0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04</w:t>
            </w:r>
          </w:p>
        </w:tc>
        <w:tc>
          <w:tcPr>
            <w:tcW w:w="3118" w:type="dxa"/>
            <w:tcBorders>
              <w:top w:val="nil"/>
              <w:left w:val="nil"/>
              <w:bottom w:val="single" w:sz="4" w:space="0" w:color="auto"/>
              <w:right w:val="single" w:sz="4" w:space="0" w:color="auto"/>
            </w:tcBorders>
            <w:shd w:val="clear" w:color="auto" w:fill="auto"/>
            <w:hideMark/>
          </w:tcPr>
          <w:p w:rsidR="003F1810" w:rsidRPr="001554E7" w:rsidRDefault="003F1810" w:rsidP="003F1810">
            <w:pPr>
              <w:rPr>
                <w:bCs/>
                <w:lang w:eastAsia="ro-RO"/>
              </w:rPr>
            </w:pPr>
            <w:r w:rsidRPr="001554E7">
              <w:rPr>
                <w:bCs/>
                <w:sz w:val="22"/>
                <w:szCs w:val="22"/>
                <w:lang w:eastAsia="ro-RO"/>
              </w:rPr>
              <w:t>Servicii în domeniul economiei</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11776,7</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11776,7</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854,8</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-10921,3</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665943" w:rsidP="003F1810">
            <w:pPr>
              <w:rPr>
                <w:lang w:eastAsia="ro-RO"/>
              </w:rPr>
            </w:pPr>
            <w:r w:rsidRPr="001554E7">
              <w:rPr>
                <w:lang w:eastAsia="ro-RO"/>
              </w:rPr>
              <w:t>7,3</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0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05</w:t>
            </w:r>
          </w:p>
        </w:tc>
        <w:tc>
          <w:tcPr>
            <w:tcW w:w="3118" w:type="dxa"/>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bCs/>
                <w:lang w:eastAsia="ro-RO"/>
              </w:rPr>
            </w:pPr>
            <w:r w:rsidRPr="001554E7">
              <w:rPr>
                <w:bCs/>
                <w:sz w:val="22"/>
                <w:szCs w:val="22"/>
                <w:lang w:eastAsia="ro-RO"/>
              </w:rPr>
              <w:t>Protecția mediului</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200,0</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1520,0</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lang w:eastAsia="ro-RO"/>
              </w:rPr>
            </w:pP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lang w:eastAsia="ro-RO"/>
              </w:rPr>
            </w:pP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5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06</w:t>
            </w:r>
          </w:p>
        </w:tc>
        <w:tc>
          <w:tcPr>
            <w:tcW w:w="3118" w:type="dxa"/>
            <w:tcBorders>
              <w:top w:val="nil"/>
              <w:left w:val="nil"/>
              <w:bottom w:val="single" w:sz="4" w:space="0" w:color="auto"/>
              <w:right w:val="single" w:sz="4" w:space="0" w:color="auto"/>
            </w:tcBorders>
            <w:shd w:val="clear" w:color="auto" w:fill="auto"/>
            <w:hideMark/>
          </w:tcPr>
          <w:p w:rsidR="003F1810" w:rsidRPr="001554E7" w:rsidRDefault="003F1810" w:rsidP="003F1810">
            <w:pPr>
              <w:rPr>
                <w:bCs/>
                <w:lang w:eastAsia="ro-RO"/>
              </w:rPr>
            </w:pPr>
            <w:r w:rsidRPr="001554E7">
              <w:rPr>
                <w:bCs/>
                <w:sz w:val="22"/>
                <w:szCs w:val="22"/>
                <w:lang w:eastAsia="ro-RO"/>
              </w:rPr>
              <w:t>Gospodăria de locuințe și serviciilor comunale</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200,0</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850,0</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151,7</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-698,3</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17,9</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07</w:t>
            </w:r>
          </w:p>
        </w:tc>
        <w:tc>
          <w:tcPr>
            <w:tcW w:w="3118" w:type="dxa"/>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bCs/>
                <w:lang w:eastAsia="ro-RO"/>
              </w:rPr>
            </w:pPr>
            <w:r w:rsidRPr="001554E7">
              <w:rPr>
                <w:bCs/>
                <w:sz w:val="22"/>
                <w:szCs w:val="22"/>
                <w:lang w:eastAsia="ro-RO"/>
              </w:rPr>
              <w:t>Ocrotirea sănătății</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2738,9</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6455,3</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2357,1</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-4098,2</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36,5</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08</w:t>
            </w:r>
          </w:p>
        </w:tc>
        <w:tc>
          <w:tcPr>
            <w:tcW w:w="3118" w:type="dxa"/>
            <w:tcBorders>
              <w:top w:val="nil"/>
              <w:left w:val="nil"/>
              <w:bottom w:val="single" w:sz="4" w:space="0" w:color="auto"/>
              <w:right w:val="single" w:sz="4" w:space="0" w:color="auto"/>
            </w:tcBorders>
            <w:shd w:val="clear" w:color="auto" w:fill="auto"/>
            <w:noWrap/>
            <w:vAlign w:val="center"/>
            <w:hideMark/>
          </w:tcPr>
          <w:p w:rsidR="003F1810" w:rsidRPr="001554E7" w:rsidRDefault="003F1810" w:rsidP="003F1810">
            <w:pPr>
              <w:ind w:right="-108"/>
              <w:rPr>
                <w:bCs/>
                <w:lang w:eastAsia="ro-RO"/>
              </w:rPr>
            </w:pPr>
            <w:r w:rsidRPr="001554E7">
              <w:rPr>
                <w:bCs/>
                <w:sz w:val="22"/>
                <w:szCs w:val="22"/>
                <w:lang w:eastAsia="ro-RO"/>
              </w:rPr>
              <w:t>Cultură, sport, tineret și odihnă</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11009,2</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11265,8</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3204,4</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-8061,4</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28,4</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09</w:t>
            </w:r>
          </w:p>
        </w:tc>
        <w:tc>
          <w:tcPr>
            <w:tcW w:w="3118" w:type="dxa"/>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bCs/>
                <w:lang w:eastAsia="ro-RO"/>
              </w:rPr>
            </w:pPr>
            <w:r w:rsidRPr="001554E7">
              <w:rPr>
                <w:bCs/>
                <w:sz w:val="22"/>
                <w:szCs w:val="22"/>
                <w:lang w:eastAsia="ro-RO"/>
              </w:rPr>
              <w:t>Învățământ</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140270,2</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143333,8</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60636,6</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5E518F" w:rsidP="003F1810">
            <w:pPr>
              <w:rPr>
                <w:lang w:eastAsia="ro-RO"/>
              </w:rPr>
            </w:pPr>
            <w:r w:rsidRPr="001554E7">
              <w:rPr>
                <w:lang w:eastAsia="ro-RO"/>
              </w:rPr>
              <w:t>-82697,2</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42,3</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1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1810" w:rsidRPr="001554E7" w:rsidRDefault="003F1810" w:rsidP="003F1810">
            <w:pPr>
              <w:rPr>
                <w:bCs/>
                <w:iCs/>
                <w:lang w:eastAsia="ro-RO"/>
              </w:rPr>
            </w:pPr>
            <w:r w:rsidRPr="001554E7">
              <w:rPr>
                <w:bCs/>
                <w:iCs/>
                <w:lang w:eastAsia="ro-RO"/>
              </w:rPr>
              <w:t>10</w:t>
            </w:r>
          </w:p>
        </w:tc>
        <w:tc>
          <w:tcPr>
            <w:tcW w:w="3118" w:type="dxa"/>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bCs/>
                <w:lang w:eastAsia="ro-RO"/>
              </w:rPr>
            </w:pPr>
            <w:r w:rsidRPr="001554E7">
              <w:rPr>
                <w:bCs/>
                <w:sz w:val="22"/>
                <w:szCs w:val="22"/>
                <w:lang w:eastAsia="ro-RO"/>
              </w:rPr>
              <w:t>Protecție socială</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22860,7</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26586,2</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9651,0</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5E518F" w:rsidP="003F1810">
            <w:pPr>
              <w:rPr>
                <w:lang w:eastAsia="ro-RO"/>
              </w:rPr>
            </w:pPr>
            <w:r w:rsidRPr="001554E7">
              <w:rPr>
                <w:lang w:eastAsia="ro-RO"/>
              </w:rPr>
              <w:t>-16535,2</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36,3</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431"/>
        </w:trPr>
        <w:tc>
          <w:tcPr>
            <w:tcW w:w="710" w:type="dxa"/>
            <w:tcBorders>
              <w:top w:val="nil"/>
              <w:left w:val="single" w:sz="4" w:space="0" w:color="auto"/>
              <w:bottom w:val="single" w:sz="4" w:space="0" w:color="auto"/>
              <w:right w:val="single" w:sz="4" w:space="0" w:color="auto"/>
            </w:tcBorders>
            <w:shd w:val="clear" w:color="auto" w:fill="auto"/>
            <w:hideMark/>
          </w:tcPr>
          <w:p w:rsidR="003F1810" w:rsidRPr="001554E7" w:rsidRDefault="003F1810" w:rsidP="003F1810">
            <w:pPr>
              <w:rPr>
                <w:lang w:eastAsia="ro-RO"/>
              </w:rPr>
            </w:pPr>
          </w:p>
        </w:tc>
        <w:tc>
          <w:tcPr>
            <w:tcW w:w="3118" w:type="dxa"/>
            <w:tcBorders>
              <w:top w:val="nil"/>
              <w:left w:val="nil"/>
              <w:bottom w:val="single" w:sz="4" w:space="0" w:color="auto"/>
              <w:right w:val="single" w:sz="4" w:space="0" w:color="auto"/>
            </w:tcBorders>
            <w:shd w:val="clear" w:color="auto" w:fill="auto"/>
            <w:vAlign w:val="center"/>
            <w:hideMark/>
          </w:tcPr>
          <w:p w:rsidR="003F1810" w:rsidRPr="001554E7" w:rsidRDefault="003F1810" w:rsidP="003F1810">
            <w:pPr>
              <w:rPr>
                <w:b/>
                <w:bCs/>
                <w:lang w:eastAsia="ro-RO"/>
              </w:rPr>
            </w:pPr>
            <w:r w:rsidRPr="001554E7">
              <w:rPr>
                <w:b/>
                <w:bCs/>
                <w:lang w:eastAsia="ro-RO"/>
              </w:rPr>
              <w:t xml:space="preserve">Total </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b/>
                <w:bCs/>
                <w:iCs/>
                <w:lang w:eastAsia="ro-RO"/>
              </w:rPr>
            </w:pPr>
            <w:r w:rsidRPr="001554E7">
              <w:rPr>
                <w:b/>
                <w:bCs/>
                <w:iCs/>
                <w:lang w:eastAsia="ro-RO"/>
              </w:rPr>
              <w:t>199397,6</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b/>
                <w:bCs/>
                <w:iCs/>
                <w:lang w:eastAsia="ro-RO"/>
              </w:rPr>
            </w:pPr>
            <w:r w:rsidRPr="001554E7">
              <w:rPr>
                <w:b/>
                <w:bCs/>
                <w:iCs/>
                <w:lang w:eastAsia="ro-RO"/>
              </w:rPr>
              <w:t>212515,7</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b/>
                <w:bCs/>
                <w:iCs/>
                <w:lang w:eastAsia="ro-RO"/>
              </w:rPr>
            </w:pPr>
            <w:r w:rsidRPr="001554E7">
              <w:rPr>
                <w:b/>
                <w:bCs/>
                <w:iCs/>
                <w:lang w:eastAsia="ro-RO"/>
              </w:rPr>
              <w:t>80074,8</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5E518F" w:rsidP="003F1810">
            <w:pPr>
              <w:rPr>
                <w:b/>
                <w:bCs/>
                <w:iCs/>
                <w:lang w:eastAsia="ro-RO"/>
              </w:rPr>
            </w:pPr>
            <w:r w:rsidRPr="001554E7">
              <w:rPr>
                <w:b/>
                <w:bCs/>
                <w:iCs/>
                <w:lang w:eastAsia="ro-RO"/>
              </w:rPr>
              <w:t>-132440,9</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b/>
                <w:bCs/>
                <w:iCs/>
                <w:lang w:eastAsia="ro-RO"/>
              </w:rPr>
            </w:pPr>
            <w:r w:rsidRPr="001554E7">
              <w:rPr>
                <w:b/>
                <w:bCs/>
                <w:iCs/>
                <w:lang w:eastAsia="ro-RO"/>
              </w:rPr>
              <w:t>37,7</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b/>
                <w:bCs/>
                <w:i/>
                <w:iCs/>
                <w:sz w:val="26"/>
                <w:szCs w:val="26"/>
                <w:lang w:eastAsia="ro-RO"/>
              </w:rPr>
            </w:pPr>
          </w:p>
        </w:tc>
      </w:tr>
      <w:tr w:rsidR="003F1810" w:rsidRPr="001554E7" w:rsidTr="003F1810">
        <w:trPr>
          <w:gridBefore w:val="1"/>
          <w:wBefore w:w="142" w:type="dxa"/>
          <w:trHeight w:val="765"/>
        </w:trPr>
        <w:tc>
          <w:tcPr>
            <w:tcW w:w="710" w:type="dxa"/>
            <w:tcBorders>
              <w:top w:val="nil"/>
              <w:left w:val="single" w:sz="4" w:space="0" w:color="auto"/>
              <w:bottom w:val="single" w:sz="4" w:space="0" w:color="auto"/>
              <w:right w:val="single" w:sz="4" w:space="0" w:color="auto"/>
            </w:tcBorders>
            <w:shd w:val="clear" w:color="auto" w:fill="auto"/>
            <w:hideMark/>
          </w:tcPr>
          <w:p w:rsidR="003F1810" w:rsidRPr="001554E7" w:rsidRDefault="003F1810" w:rsidP="003F1810">
            <w:pPr>
              <w:rPr>
                <w:lang w:eastAsia="ro-RO"/>
              </w:rPr>
            </w:pPr>
          </w:p>
        </w:tc>
        <w:tc>
          <w:tcPr>
            <w:tcW w:w="3118" w:type="dxa"/>
            <w:tcBorders>
              <w:top w:val="nil"/>
              <w:left w:val="nil"/>
              <w:bottom w:val="single" w:sz="4" w:space="0" w:color="auto"/>
              <w:right w:val="single" w:sz="4" w:space="0" w:color="auto"/>
            </w:tcBorders>
            <w:shd w:val="clear" w:color="auto" w:fill="auto"/>
            <w:hideMark/>
          </w:tcPr>
          <w:p w:rsidR="003F1810" w:rsidRPr="001554E7" w:rsidRDefault="003F1810" w:rsidP="003F1810">
            <w:pPr>
              <w:rPr>
                <w:bCs/>
                <w:lang w:eastAsia="ro-RO"/>
              </w:rPr>
            </w:pPr>
            <w:r w:rsidRPr="001554E7">
              <w:rPr>
                <w:bCs/>
                <w:sz w:val="22"/>
                <w:szCs w:val="22"/>
                <w:lang w:eastAsia="ro-RO"/>
              </w:rPr>
              <w:t xml:space="preserve">Rambursarea împrumutului </w:t>
            </w:r>
            <w:proofErr w:type="spellStart"/>
            <w:r w:rsidRPr="001554E7">
              <w:rPr>
                <w:bCs/>
                <w:sz w:val="22"/>
                <w:szCs w:val="22"/>
                <w:lang w:eastAsia="ro-RO"/>
              </w:rPr>
              <w:t>recreditat</w:t>
            </w:r>
            <w:proofErr w:type="spellEnd"/>
            <w:r w:rsidRPr="001554E7">
              <w:rPr>
                <w:bCs/>
                <w:sz w:val="22"/>
                <w:szCs w:val="22"/>
                <w:lang w:eastAsia="ro-RO"/>
              </w:rPr>
              <w:t xml:space="preserve"> între bugetul de stat si bugetele locale de nivelul 2</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2246,2</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2246,2</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962,6</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5E518F" w:rsidP="003F1810">
            <w:pPr>
              <w:rPr>
                <w:lang w:eastAsia="ro-RO"/>
              </w:rPr>
            </w:pPr>
            <w:r w:rsidRPr="001554E7">
              <w:rPr>
                <w:lang w:eastAsia="ro-RO"/>
              </w:rPr>
              <w:t>-</w:t>
            </w:r>
            <w:r w:rsidR="00351D1C" w:rsidRPr="001554E7">
              <w:rPr>
                <w:lang w:eastAsia="ro-RO"/>
              </w:rPr>
              <w:t>1283,6</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lang w:eastAsia="ro-RO"/>
              </w:rPr>
            </w:pPr>
            <w:r w:rsidRPr="001554E7">
              <w:rPr>
                <w:lang w:eastAsia="ro-RO"/>
              </w:rPr>
              <w:t>42,9</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rPr>
                <w:sz w:val="26"/>
                <w:szCs w:val="26"/>
                <w:lang w:eastAsia="ro-RO"/>
              </w:rPr>
            </w:pPr>
          </w:p>
        </w:tc>
      </w:tr>
      <w:tr w:rsidR="003F1810" w:rsidRPr="001554E7" w:rsidTr="003F1810">
        <w:trPr>
          <w:gridBefore w:val="1"/>
          <w:wBefore w:w="142" w:type="dxa"/>
          <w:trHeight w:val="347"/>
        </w:trPr>
        <w:tc>
          <w:tcPr>
            <w:tcW w:w="710" w:type="dxa"/>
            <w:tcBorders>
              <w:top w:val="nil"/>
              <w:left w:val="single" w:sz="4" w:space="0" w:color="auto"/>
              <w:bottom w:val="single" w:sz="4" w:space="0" w:color="auto"/>
              <w:right w:val="single" w:sz="4" w:space="0" w:color="auto"/>
            </w:tcBorders>
            <w:shd w:val="clear" w:color="auto" w:fill="auto"/>
            <w:hideMark/>
          </w:tcPr>
          <w:p w:rsidR="003F1810" w:rsidRPr="001554E7" w:rsidRDefault="003F1810" w:rsidP="003F1810">
            <w:pPr>
              <w:rPr>
                <w:bCs/>
                <w:lang w:eastAsia="ro-RO"/>
              </w:rPr>
            </w:pPr>
          </w:p>
        </w:tc>
        <w:tc>
          <w:tcPr>
            <w:tcW w:w="3118" w:type="dxa"/>
            <w:tcBorders>
              <w:top w:val="nil"/>
              <w:left w:val="nil"/>
              <w:bottom w:val="single" w:sz="4" w:space="0" w:color="auto"/>
              <w:right w:val="single" w:sz="4" w:space="0" w:color="auto"/>
            </w:tcBorders>
            <w:shd w:val="clear" w:color="auto" w:fill="auto"/>
            <w:hideMark/>
          </w:tcPr>
          <w:p w:rsidR="003F1810" w:rsidRPr="001554E7" w:rsidRDefault="003F1810" w:rsidP="003F1810">
            <w:pPr>
              <w:rPr>
                <w:b/>
                <w:bCs/>
                <w:lang w:eastAsia="ro-RO"/>
              </w:rPr>
            </w:pPr>
            <w:r w:rsidRPr="001554E7">
              <w:rPr>
                <w:b/>
                <w:bCs/>
                <w:lang w:eastAsia="ro-RO"/>
              </w:rPr>
              <w:t>Total general</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b/>
                <w:bCs/>
                <w:iCs/>
                <w:lang w:eastAsia="ro-RO"/>
              </w:rPr>
            </w:pPr>
            <w:r w:rsidRPr="001554E7">
              <w:rPr>
                <w:b/>
                <w:bCs/>
                <w:iCs/>
                <w:lang w:eastAsia="ro-RO"/>
              </w:rPr>
              <w:t>201643,8</w:t>
            </w:r>
          </w:p>
        </w:tc>
        <w:tc>
          <w:tcPr>
            <w:tcW w:w="1236"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b/>
                <w:bCs/>
                <w:iCs/>
                <w:lang w:eastAsia="ro-RO"/>
              </w:rPr>
            </w:pPr>
            <w:r w:rsidRPr="001554E7">
              <w:rPr>
                <w:b/>
                <w:bCs/>
                <w:iCs/>
                <w:lang w:eastAsia="ro-RO"/>
              </w:rPr>
              <w:t>214761,9</w:t>
            </w:r>
          </w:p>
        </w:tc>
        <w:tc>
          <w:tcPr>
            <w:tcW w:w="1241" w:type="dxa"/>
            <w:tcBorders>
              <w:top w:val="nil"/>
              <w:left w:val="nil"/>
              <w:bottom w:val="single" w:sz="4" w:space="0" w:color="auto"/>
              <w:right w:val="single" w:sz="4" w:space="0" w:color="auto"/>
            </w:tcBorders>
            <w:shd w:val="clear" w:color="auto" w:fill="auto"/>
            <w:vAlign w:val="center"/>
            <w:hideMark/>
          </w:tcPr>
          <w:p w:rsidR="003F1810" w:rsidRPr="001554E7" w:rsidRDefault="00351D1C" w:rsidP="003F1810">
            <w:pPr>
              <w:rPr>
                <w:b/>
                <w:bCs/>
                <w:iCs/>
                <w:lang w:eastAsia="ro-RO"/>
              </w:rPr>
            </w:pPr>
            <w:r w:rsidRPr="001554E7">
              <w:rPr>
                <w:b/>
                <w:bCs/>
                <w:iCs/>
                <w:lang w:eastAsia="ro-RO"/>
              </w:rPr>
              <w:t>81037,4</w:t>
            </w:r>
          </w:p>
        </w:tc>
        <w:tc>
          <w:tcPr>
            <w:tcW w:w="1328" w:type="dxa"/>
            <w:tcBorders>
              <w:top w:val="nil"/>
              <w:left w:val="nil"/>
              <w:bottom w:val="single" w:sz="4" w:space="0" w:color="auto"/>
              <w:right w:val="single" w:sz="4" w:space="0" w:color="auto"/>
            </w:tcBorders>
            <w:shd w:val="clear" w:color="auto" w:fill="auto"/>
            <w:vAlign w:val="center"/>
            <w:hideMark/>
          </w:tcPr>
          <w:p w:rsidR="003F1810" w:rsidRPr="001554E7" w:rsidRDefault="005E518F" w:rsidP="003F1810">
            <w:pPr>
              <w:rPr>
                <w:b/>
                <w:bCs/>
                <w:iCs/>
                <w:lang w:eastAsia="ro-RO"/>
              </w:rPr>
            </w:pPr>
            <w:r w:rsidRPr="001554E7">
              <w:rPr>
                <w:b/>
                <w:bCs/>
                <w:iCs/>
                <w:lang w:eastAsia="ro-RO"/>
              </w:rPr>
              <w:t>-133724,5</w:t>
            </w:r>
          </w:p>
        </w:tc>
        <w:tc>
          <w:tcPr>
            <w:tcW w:w="850" w:type="dxa"/>
            <w:gridSpan w:val="2"/>
            <w:tcBorders>
              <w:top w:val="nil"/>
              <w:left w:val="nil"/>
              <w:bottom w:val="single" w:sz="4" w:space="0" w:color="auto"/>
              <w:right w:val="single" w:sz="4" w:space="0" w:color="auto"/>
            </w:tcBorders>
            <w:shd w:val="clear" w:color="auto" w:fill="auto"/>
            <w:vAlign w:val="center"/>
            <w:hideMark/>
          </w:tcPr>
          <w:p w:rsidR="003F1810" w:rsidRPr="001554E7" w:rsidRDefault="005E518F" w:rsidP="003F1810">
            <w:pPr>
              <w:rPr>
                <w:b/>
                <w:bCs/>
                <w:iCs/>
                <w:lang w:eastAsia="ro-RO"/>
              </w:rPr>
            </w:pPr>
            <w:r w:rsidRPr="001554E7">
              <w:rPr>
                <w:b/>
                <w:bCs/>
                <w:iCs/>
                <w:lang w:eastAsia="ro-RO"/>
              </w:rPr>
              <w:t>37,7</w:t>
            </w:r>
          </w:p>
        </w:tc>
        <w:tc>
          <w:tcPr>
            <w:tcW w:w="960" w:type="dxa"/>
            <w:gridSpan w:val="3"/>
            <w:tcBorders>
              <w:top w:val="nil"/>
              <w:left w:val="nil"/>
              <w:bottom w:val="nil"/>
              <w:right w:val="nil"/>
            </w:tcBorders>
            <w:shd w:val="clear" w:color="auto" w:fill="auto"/>
            <w:noWrap/>
            <w:vAlign w:val="bottom"/>
            <w:hideMark/>
          </w:tcPr>
          <w:p w:rsidR="003F1810" w:rsidRPr="001554E7" w:rsidRDefault="003F1810" w:rsidP="003F1810">
            <w:pPr>
              <w:spacing w:after="100" w:afterAutospacing="1"/>
              <w:rPr>
                <w:b/>
                <w:bCs/>
                <w:sz w:val="28"/>
                <w:szCs w:val="28"/>
                <w:lang w:eastAsia="ro-RO"/>
              </w:rPr>
            </w:pPr>
          </w:p>
        </w:tc>
      </w:tr>
    </w:tbl>
    <w:p w:rsidR="003F1810" w:rsidRPr="001554E7" w:rsidRDefault="003F1810" w:rsidP="003F1810">
      <w:pPr>
        <w:tabs>
          <w:tab w:val="left" w:pos="426"/>
          <w:tab w:val="left" w:pos="1170"/>
        </w:tabs>
        <w:spacing w:before="240"/>
        <w:jc w:val="both"/>
        <w:rPr>
          <w:b/>
        </w:rPr>
      </w:pPr>
      <w:r w:rsidRPr="001554E7">
        <w:rPr>
          <w:b/>
        </w:rPr>
        <w:t xml:space="preserve">          </w:t>
      </w:r>
    </w:p>
    <w:p w:rsidR="003F1810" w:rsidRPr="001554E7" w:rsidRDefault="003F1810" w:rsidP="003F1810">
      <w:pPr>
        <w:tabs>
          <w:tab w:val="left" w:pos="426"/>
          <w:tab w:val="left" w:pos="1170"/>
        </w:tabs>
        <w:spacing w:before="240"/>
        <w:jc w:val="both"/>
      </w:pPr>
      <w:r w:rsidRPr="001554E7">
        <w:rPr>
          <w:b/>
        </w:rPr>
        <w:t xml:space="preserve">      Șef Direcție Finanțe                                                                    Olga Simon</w:t>
      </w:r>
    </w:p>
    <w:p w:rsidR="003F1810" w:rsidRPr="001554E7" w:rsidRDefault="003F1810"/>
    <w:sectPr w:rsidR="003F1810" w:rsidRPr="001554E7" w:rsidSect="001554E7">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194"/>
    <w:multiLevelType w:val="hybridMultilevel"/>
    <w:tmpl w:val="3BB0180C"/>
    <w:lvl w:ilvl="0" w:tplc="4132844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C3217C8"/>
    <w:multiLevelType w:val="hybridMultilevel"/>
    <w:tmpl w:val="1B2CBB14"/>
    <w:lvl w:ilvl="0" w:tplc="BC52488E">
      <w:start w:val="1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952C2"/>
    <w:multiLevelType w:val="hybridMultilevel"/>
    <w:tmpl w:val="44EC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14B7B"/>
    <w:multiLevelType w:val="hybridMultilevel"/>
    <w:tmpl w:val="C394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158C0"/>
    <w:multiLevelType w:val="hybridMultilevel"/>
    <w:tmpl w:val="C3BA5E20"/>
    <w:lvl w:ilvl="0" w:tplc="0492CC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C4E7832"/>
    <w:multiLevelType w:val="hybridMultilevel"/>
    <w:tmpl w:val="9E0CCECA"/>
    <w:lvl w:ilvl="0" w:tplc="3C0287B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153D3B"/>
    <w:multiLevelType w:val="hybridMultilevel"/>
    <w:tmpl w:val="FE5830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16079"/>
    <w:multiLevelType w:val="hybridMultilevel"/>
    <w:tmpl w:val="78F24414"/>
    <w:lvl w:ilvl="0" w:tplc="2CFE8874">
      <w:start w:val="14"/>
      <w:numFmt w:val="bullet"/>
      <w:lvlText w:val="-"/>
      <w:lvlJc w:val="left"/>
      <w:pPr>
        <w:tabs>
          <w:tab w:val="num" w:pos="1428"/>
        </w:tabs>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36605E3"/>
    <w:multiLevelType w:val="hybridMultilevel"/>
    <w:tmpl w:val="0A2E0A8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35DD0BA1"/>
    <w:multiLevelType w:val="hybridMultilevel"/>
    <w:tmpl w:val="693A74A0"/>
    <w:lvl w:ilvl="0" w:tplc="A0263F5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E26D06"/>
    <w:multiLevelType w:val="hybridMultilevel"/>
    <w:tmpl w:val="A63A9F32"/>
    <w:lvl w:ilvl="0" w:tplc="BC52488E">
      <w:start w:val="14"/>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451A47F8"/>
    <w:multiLevelType w:val="hybridMultilevel"/>
    <w:tmpl w:val="58CE39F4"/>
    <w:lvl w:ilvl="0" w:tplc="375C1C7A">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2">
    <w:nsid w:val="49EE79A9"/>
    <w:multiLevelType w:val="hybridMultilevel"/>
    <w:tmpl w:val="1820D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554D3A"/>
    <w:multiLevelType w:val="hybridMultilevel"/>
    <w:tmpl w:val="0E4E2E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6E963003"/>
    <w:multiLevelType w:val="hybridMultilevel"/>
    <w:tmpl w:val="34B4661A"/>
    <w:lvl w:ilvl="0" w:tplc="375C1C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A350439"/>
    <w:multiLevelType w:val="hybridMultilevel"/>
    <w:tmpl w:val="08C25B2A"/>
    <w:lvl w:ilvl="0" w:tplc="CDB2A038">
      <w:numFmt w:val="bullet"/>
      <w:lvlText w:val="-"/>
      <w:lvlJc w:val="left"/>
      <w:pPr>
        <w:ind w:left="2913"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5"/>
  </w:num>
  <w:num w:numId="3">
    <w:abstractNumId w:val="7"/>
  </w:num>
  <w:num w:numId="4">
    <w:abstractNumId w:val="1"/>
  </w:num>
  <w:num w:numId="5">
    <w:abstractNumId w:val="14"/>
  </w:num>
  <w:num w:numId="6">
    <w:abstractNumId w:val="11"/>
  </w:num>
  <w:num w:numId="7">
    <w:abstractNumId w:val="4"/>
  </w:num>
  <w:num w:numId="8">
    <w:abstractNumId w:val="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257BF"/>
    <w:rsid w:val="000026BA"/>
    <w:rsid w:val="00025FAB"/>
    <w:rsid w:val="00046D0E"/>
    <w:rsid w:val="00050D40"/>
    <w:rsid w:val="00054A57"/>
    <w:rsid w:val="0006350B"/>
    <w:rsid w:val="00097EA1"/>
    <w:rsid w:val="000A7691"/>
    <w:rsid w:val="000C18BF"/>
    <w:rsid w:val="000C2813"/>
    <w:rsid w:val="000D15B4"/>
    <w:rsid w:val="00104755"/>
    <w:rsid w:val="00107090"/>
    <w:rsid w:val="001554E7"/>
    <w:rsid w:val="00155764"/>
    <w:rsid w:val="00164AB4"/>
    <w:rsid w:val="001A5330"/>
    <w:rsid w:val="00213ABE"/>
    <w:rsid w:val="00247509"/>
    <w:rsid w:val="002532B8"/>
    <w:rsid w:val="002902E4"/>
    <w:rsid w:val="002D07C6"/>
    <w:rsid w:val="002D72B5"/>
    <w:rsid w:val="002E5C46"/>
    <w:rsid w:val="00351D1C"/>
    <w:rsid w:val="0035611E"/>
    <w:rsid w:val="0036225A"/>
    <w:rsid w:val="00364264"/>
    <w:rsid w:val="003846FA"/>
    <w:rsid w:val="003C55C6"/>
    <w:rsid w:val="003D5BD5"/>
    <w:rsid w:val="003D69A2"/>
    <w:rsid w:val="003F1810"/>
    <w:rsid w:val="003F6DF9"/>
    <w:rsid w:val="004153D2"/>
    <w:rsid w:val="004155A9"/>
    <w:rsid w:val="0043239D"/>
    <w:rsid w:val="00433704"/>
    <w:rsid w:val="004441E3"/>
    <w:rsid w:val="00454543"/>
    <w:rsid w:val="00477F28"/>
    <w:rsid w:val="00481580"/>
    <w:rsid w:val="004A588C"/>
    <w:rsid w:val="004B440F"/>
    <w:rsid w:val="004B67FF"/>
    <w:rsid w:val="004C5058"/>
    <w:rsid w:val="004C5579"/>
    <w:rsid w:val="004D6CB3"/>
    <w:rsid w:val="004E25A2"/>
    <w:rsid w:val="005238FE"/>
    <w:rsid w:val="0055465E"/>
    <w:rsid w:val="0056109C"/>
    <w:rsid w:val="00580D6A"/>
    <w:rsid w:val="005C3216"/>
    <w:rsid w:val="005D00DB"/>
    <w:rsid w:val="005E518F"/>
    <w:rsid w:val="005F0546"/>
    <w:rsid w:val="005F1C4C"/>
    <w:rsid w:val="00612CD1"/>
    <w:rsid w:val="00614A7F"/>
    <w:rsid w:val="00642492"/>
    <w:rsid w:val="00655F84"/>
    <w:rsid w:val="006616CE"/>
    <w:rsid w:val="00665943"/>
    <w:rsid w:val="0069715E"/>
    <w:rsid w:val="0069732B"/>
    <w:rsid w:val="006A30BA"/>
    <w:rsid w:val="006C3EA7"/>
    <w:rsid w:val="006C5E46"/>
    <w:rsid w:val="006D3BC1"/>
    <w:rsid w:val="00754278"/>
    <w:rsid w:val="00777803"/>
    <w:rsid w:val="007940D9"/>
    <w:rsid w:val="00796408"/>
    <w:rsid w:val="008257BF"/>
    <w:rsid w:val="00827428"/>
    <w:rsid w:val="00852D5F"/>
    <w:rsid w:val="008618C7"/>
    <w:rsid w:val="008657F2"/>
    <w:rsid w:val="00874484"/>
    <w:rsid w:val="008A681B"/>
    <w:rsid w:val="008B3099"/>
    <w:rsid w:val="008D4BD5"/>
    <w:rsid w:val="008F1E1A"/>
    <w:rsid w:val="009417A2"/>
    <w:rsid w:val="009455BA"/>
    <w:rsid w:val="00973DCE"/>
    <w:rsid w:val="00985132"/>
    <w:rsid w:val="00995BF1"/>
    <w:rsid w:val="009A1080"/>
    <w:rsid w:val="009A190F"/>
    <w:rsid w:val="009A5543"/>
    <w:rsid w:val="009E0D2D"/>
    <w:rsid w:val="009E0E1D"/>
    <w:rsid w:val="00A33464"/>
    <w:rsid w:val="00A41676"/>
    <w:rsid w:val="00A5632E"/>
    <w:rsid w:val="00AA62EC"/>
    <w:rsid w:val="00AD4EB4"/>
    <w:rsid w:val="00AF5A14"/>
    <w:rsid w:val="00B04364"/>
    <w:rsid w:val="00B05C4F"/>
    <w:rsid w:val="00B126DF"/>
    <w:rsid w:val="00B74CF7"/>
    <w:rsid w:val="00B8780A"/>
    <w:rsid w:val="00B93D3D"/>
    <w:rsid w:val="00BB3B9F"/>
    <w:rsid w:val="00BB685B"/>
    <w:rsid w:val="00BF4D19"/>
    <w:rsid w:val="00C0320F"/>
    <w:rsid w:val="00C20CA6"/>
    <w:rsid w:val="00C52372"/>
    <w:rsid w:val="00C53589"/>
    <w:rsid w:val="00CF0C4F"/>
    <w:rsid w:val="00D02534"/>
    <w:rsid w:val="00D54C19"/>
    <w:rsid w:val="00D87A3E"/>
    <w:rsid w:val="00D97A8A"/>
    <w:rsid w:val="00DA051D"/>
    <w:rsid w:val="00DC4EF9"/>
    <w:rsid w:val="00DD5091"/>
    <w:rsid w:val="00E10AF8"/>
    <w:rsid w:val="00E22B68"/>
    <w:rsid w:val="00E6185D"/>
    <w:rsid w:val="00E739BA"/>
    <w:rsid w:val="00EA6963"/>
    <w:rsid w:val="00EE7599"/>
    <w:rsid w:val="00F0383C"/>
    <w:rsid w:val="00F56D9F"/>
    <w:rsid w:val="00F70E4E"/>
    <w:rsid w:val="00F93748"/>
    <w:rsid w:val="00F96E27"/>
    <w:rsid w:val="00FA4708"/>
    <w:rsid w:val="00F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BF"/>
    <w:pPr>
      <w:spacing w:before="0" w:beforeAutospacing="0"/>
      <w:jc w:val="left"/>
    </w:pPr>
    <w:rPr>
      <w:rFonts w:ascii="Times New Roman" w:eastAsia="Times New Roman" w:hAnsi="Times New Roman" w:cs="Times New Roman"/>
      <w:sz w:val="24"/>
      <w:szCs w:val="24"/>
      <w:lang w:val="ro-RO" w:eastAsia="ru-RU"/>
    </w:rPr>
  </w:style>
  <w:style w:type="paragraph" w:styleId="Titlu1">
    <w:name w:val="heading 1"/>
    <w:basedOn w:val="Normal"/>
    <w:link w:val="Titlu1Caracter"/>
    <w:uiPriority w:val="9"/>
    <w:qFormat/>
    <w:rsid w:val="008257BF"/>
    <w:pPr>
      <w:spacing w:before="100" w:beforeAutospacing="1" w:after="100" w:afterAutospacing="1"/>
      <w:outlineLvl w:val="0"/>
    </w:pPr>
    <w:rPr>
      <w:b/>
      <w:bCs/>
      <w:kern w:val="36"/>
      <w:sz w:val="48"/>
      <w:szCs w:val="48"/>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257BF"/>
    <w:rPr>
      <w:rFonts w:ascii="Times New Roman" w:eastAsia="Times New Roman" w:hAnsi="Times New Roman" w:cs="Times New Roman"/>
      <w:b/>
      <w:bCs/>
      <w:kern w:val="36"/>
      <w:sz w:val="48"/>
      <w:szCs w:val="48"/>
      <w:lang w:eastAsia="ru-RU"/>
    </w:rPr>
  </w:style>
  <w:style w:type="paragraph" w:styleId="Subsol">
    <w:name w:val="footer"/>
    <w:basedOn w:val="Normal"/>
    <w:link w:val="SubsolCaracter"/>
    <w:uiPriority w:val="99"/>
    <w:rsid w:val="008257BF"/>
    <w:pPr>
      <w:tabs>
        <w:tab w:val="center" w:pos="4677"/>
        <w:tab w:val="right" w:pos="9355"/>
      </w:tabs>
    </w:pPr>
  </w:style>
  <w:style w:type="character" w:customStyle="1" w:styleId="SubsolCaracter">
    <w:name w:val="Subsol Caracter"/>
    <w:basedOn w:val="Fontdeparagrafimplicit"/>
    <w:link w:val="Subsol"/>
    <w:uiPriority w:val="99"/>
    <w:rsid w:val="008257BF"/>
    <w:rPr>
      <w:rFonts w:ascii="Times New Roman" w:eastAsia="Times New Roman" w:hAnsi="Times New Roman" w:cs="Times New Roman"/>
      <w:sz w:val="24"/>
      <w:szCs w:val="24"/>
      <w:lang w:val="ro-RO" w:eastAsia="ru-RU"/>
    </w:rPr>
  </w:style>
  <w:style w:type="character" w:styleId="Numrdepagin">
    <w:name w:val="page number"/>
    <w:basedOn w:val="Fontdeparagrafimplicit"/>
    <w:rsid w:val="008257BF"/>
  </w:style>
  <w:style w:type="paragraph" w:styleId="Listparagraf">
    <w:name w:val="List Paragraph"/>
    <w:basedOn w:val="Normal"/>
    <w:uiPriority w:val="34"/>
    <w:qFormat/>
    <w:rsid w:val="008257BF"/>
    <w:pPr>
      <w:ind w:left="720"/>
      <w:contextualSpacing/>
    </w:pPr>
  </w:style>
  <w:style w:type="paragraph" w:styleId="Antet">
    <w:name w:val="header"/>
    <w:basedOn w:val="Normal"/>
    <w:link w:val="AntetCaracter"/>
    <w:uiPriority w:val="99"/>
    <w:semiHidden/>
    <w:unhideWhenUsed/>
    <w:rsid w:val="008257BF"/>
    <w:pPr>
      <w:tabs>
        <w:tab w:val="center" w:pos="4677"/>
        <w:tab w:val="right" w:pos="9355"/>
      </w:tabs>
    </w:pPr>
  </w:style>
  <w:style w:type="character" w:customStyle="1" w:styleId="AntetCaracter">
    <w:name w:val="Antet Caracter"/>
    <w:basedOn w:val="Fontdeparagrafimplicit"/>
    <w:link w:val="Antet"/>
    <w:uiPriority w:val="99"/>
    <w:semiHidden/>
    <w:rsid w:val="008257BF"/>
    <w:rPr>
      <w:rFonts w:ascii="Times New Roman" w:eastAsia="Times New Roman" w:hAnsi="Times New Roman" w:cs="Times New Roman"/>
      <w:sz w:val="24"/>
      <w:szCs w:val="24"/>
      <w:lang w:val="ro-RO" w:eastAsia="ru-RU"/>
    </w:rPr>
  </w:style>
  <w:style w:type="table" w:styleId="GrilTabel">
    <w:name w:val="Table Grid"/>
    <w:basedOn w:val="TabelNormal"/>
    <w:uiPriority w:val="39"/>
    <w:rsid w:val="008257BF"/>
    <w:pPr>
      <w:spacing w:before="0" w:beforeAutospacing="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u">
    <w:name w:val="Title"/>
    <w:basedOn w:val="Normal"/>
    <w:link w:val="TitluCaracter"/>
    <w:qFormat/>
    <w:rsid w:val="008257BF"/>
    <w:pPr>
      <w:spacing w:after="280" w:line="280" w:lineRule="atLeast"/>
    </w:pPr>
    <w:rPr>
      <w:rFonts w:cs="Arial"/>
      <w:bCs/>
      <w:color w:val="0A55A3"/>
      <w:sz w:val="42"/>
      <w:szCs w:val="32"/>
      <w:lang w:val="en-GB"/>
    </w:rPr>
  </w:style>
  <w:style w:type="character" w:customStyle="1" w:styleId="TitluCaracter">
    <w:name w:val="Titlu Caracter"/>
    <w:basedOn w:val="Fontdeparagrafimplicit"/>
    <w:link w:val="Titlu"/>
    <w:rsid w:val="008257BF"/>
    <w:rPr>
      <w:rFonts w:ascii="Times New Roman" w:eastAsia="Times New Roman" w:hAnsi="Times New Roman" w:cs="Arial"/>
      <w:bCs/>
      <w:color w:val="0A55A3"/>
      <w:sz w:val="42"/>
      <w:szCs w:val="32"/>
      <w:lang w:val="en-GB" w:eastAsia="ru-RU"/>
    </w:rPr>
  </w:style>
  <w:style w:type="paragraph" w:styleId="Frspaiere">
    <w:name w:val="No Spacing"/>
    <w:uiPriority w:val="1"/>
    <w:qFormat/>
    <w:rsid w:val="00364264"/>
    <w:pPr>
      <w:spacing w:before="0" w:beforeAutospacing="0"/>
      <w:jc w:val="left"/>
    </w:pPr>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E31E-A757-4C77-B205-9A966E13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9</Pages>
  <Words>5004</Words>
  <Characters>28524</Characters>
  <Application>Microsoft Office Word</Application>
  <DocSecurity>0</DocSecurity>
  <Lines>237</Lines>
  <Paragraphs>66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sclifoss</dc:creator>
  <cp:lastModifiedBy>01</cp:lastModifiedBy>
  <cp:revision>21</cp:revision>
  <cp:lastPrinted>2020-08-07T11:42:00Z</cp:lastPrinted>
  <dcterms:created xsi:type="dcterms:W3CDTF">2020-02-17T06:32:00Z</dcterms:created>
  <dcterms:modified xsi:type="dcterms:W3CDTF">2020-08-10T08:27:00Z</dcterms:modified>
</cp:coreProperties>
</file>